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0821" w14:textId="77777777" w:rsidR="003370E0" w:rsidRDefault="003370E0" w:rsidP="003370E0">
      <w:pPr>
        <w:ind w:left="2160" w:firstLine="720"/>
      </w:pPr>
      <w:r>
        <w:rPr>
          <w:noProof/>
        </w:rPr>
        <w:drawing>
          <wp:inline distT="0" distB="0" distL="0" distR="0" wp14:anchorId="110BA72F" wp14:editId="28153C1A">
            <wp:extent cx="1885950" cy="10310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PA.logo.NoBackg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3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69240" w14:textId="77777777" w:rsidR="003370E0" w:rsidRDefault="003370E0"/>
    <w:p w14:paraId="6EF6D4E4" w14:textId="77777777" w:rsidR="00C268AF" w:rsidRPr="004E4624" w:rsidRDefault="00C268AF" w:rsidP="00C268AF">
      <w:pPr>
        <w:jc w:val="center"/>
        <w:rPr>
          <w:b/>
          <w:bCs/>
          <w:sz w:val="28"/>
          <w:szCs w:val="28"/>
        </w:rPr>
      </w:pPr>
      <w:r w:rsidRPr="004E4624">
        <w:rPr>
          <w:b/>
          <w:bCs/>
          <w:sz w:val="28"/>
          <w:szCs w:val="28"/>
        </w:rPr>
        <w:t>2026 Investment Outlook: Resilience and Rebalancing in a Polarized World</w:t>
      </w:r>
    </w:p>
    <w:p w14:paraId="00EB89FA" w14:textId="77777777" w:rsidR="00C268AF" w:rsidRPr="001A290F" w:rsidRDefault="00C268AF" w:rsidP="00C268AF">
      <w:pPr>
        <w:jc w:val="center"/>
        <w:rPr>
          <w:b/>
          <w:bCs/>
        </w:rPr>
      </w:pPr>
    </w:p>
    <w:p w14:paraId="4E15A659" w14:textId="77777777" w:rsidR="004E4624" w:rsidRPr="00AD2F89" w:rsidRDefault="004E4624" w:rsidP="004E4624">
      <w:r w:rsidRPr="00AD2F89">
        <w:t xml:space="preserve">As we look toward 2026, </w:t>
      </w:r>
      <w:r w:rsidRPr="00AD2F89">
        <w:rPr>
          <w:b/>
          <w:bCs/>
        </w:rPr>
        <w:t>resilience</w:t>
      </w:r>
      <w:r w:rsidRPr="00AD2F89">
        <w:t xml:space="preserve"> stands as the overarching theme for the global economy. Following a period of slowing growth and significant geopolitical shifts—a dynamic we term the "Great Global Restructuring"—investors should expect </w:t>
      </w:r>
      <w:r w:rsidRPr="00AD2F89">
        <w:rPr>
          <w:b/>
          <w:bCs/>
        </w:rPr>
        <w:t>improved economic stability</w:t>
      </w:r>
      <w:r w:rsidRPr="00AD2F89">
        <w:t xml:space="preserve"> and a broadening of investment opportunities. We are moving away from a binary market where a handful of US technology stocks dominated returns toward a more </w:t>
      </w:r>
      <w:r w:rsidRPr="00AD2F89">
        <w:rPr>
          <w:b/>
          <w:bCs/>
        </w:rPr>
        <w:t>balanced environment</w:t>
      </w:r>
      <w:r w:rsidRPr="00AD2F89">
        <w:t xml:space="preserve"> that rewards diversification across geographic regions, asset classes, and sectors.</w:t>
      </w:r>
    </w:p>
    <w:p w14:paraId="2F9B87EA" w14:textId="77777777" w:rsidR="004E4624" w:rsidRPr="00AD2F89" w:rsidRDefault="004E4624" w:rsidP="004E4624">
      <w:r w:rsidRPr="00AD2F89">
        <w:t xml:space="preserve">While challenges such as high valuations, sticky inflation, and mounting government debt remain, the potential for a global economic revival is emerging. </w:t>
      </w:r>
      <w:r w:rsidRPr="00AD2F89">
        <w:rPr>
          <w:b/>
          <w:bCs/>
        </w:rPr>
        <w:t>Government stimulus</w:t>
      </w:r>
      <w:r w:rsidRPr="00AD2F89">
        <w:t xml:space="preserve"> and a shift toward clearer trade policies are freeing businesses to make capital decisions, while the </w:t>
      </w:r>
      <w:r w:rsidRPr="00AD2F89">
        <w:rPr>
          <w:b/>
          <w:bCs/>
        </w:rPr>
        <w:t xml:space="preserve">AI </w:t>
      </w:r>
      <w:proofErr w:type="spellStart"/>
      <w:r w:rsidRPr="00AD2F89">
        <w:rPr>
          <w:b/>
          <w:bCs/>
        </w:rPr>
        <w:t>supercycle</w:t>
      </w:r>
      <w:proofErr w:type="spellEnd"/>
      <w:r w:rsidRPr="00AD2F89">
        <w:t xml:space="preserve"> continues to reshape corporate productivity and capital expenditure.</w:t>
      </w:r>
    </w:p>
    <w:p w14:paraId="7CB9DED7" w14:textId="77777777" w:rsidR="004E4624" w:rsidRPr="00AD2F89" w:rsidRDefault="00000000" w:rsidP="004E4624">
      <w:r>
        <w:pict w14:anchorId="1D83E840">
          <v:rect id="_x0000_i1025" style="width:0;height:1.5pt" o:hralign="center" o:hrstd="t" o:hr="t" fillcolor="#a0a0a0" stroked="f"/>
        </w:pict>
      </w:r>
    </w:p>
    <w:p w14:paraId="01A6DF36" w14:textId="77777777" w:rsidR="004E4624" w:rsidRPr="00AD2F89" w:rsidRDefault="004E4624" w:rsidP="004E4624">
      <w:pPr>
        <w:rPr>
          <w:b/>
          <w:bCs/>
        </w:rPr>
      </w:pPr>
      <w:r w:rsidRPr="00AD2F89">
        <w:rPr>
          <w:b/>
          <w:bCs/>
        </w:rPr>
        <w:t>United States: A Balancing Act of Capex and Labor</w:t>
      </w:r>
    </w:p>
    <w:p w14:paraId="79CDCCE4" w14:textId="77777777" w:rsidR="004E4624" w:rsidRPr="00AD2F89" w:rsidRDefault="004E4624" w:rsidP="004E4624">
      <w:r w:rsidRPr="00AD2F89">
        <w:rPr>
          <w:b/>
          <w:bCs/>
        </w:rPr>
        <w:t>Economy</w:t>
      </w:r>
      <w:r w:rsidRPr="00AD2F89">
        <w:t xml:space="preserve"> The US economy is expected to grow at a </w:t>
      </w:r>
      <w:r w:rsidRPr="00AD2F89">
        <w:rPr>
          <w:b/>
          <w:bCs/>
        </w:rPr>
        <w:t>sturdy but moderate pace</w:t>
      </w:r>
      <w:r w:rsidRPr="00AD2F89">
        <w:t xml:space="preserve"> of approximately 1.8% to 2.5% in 2026. This expansion is characterized by a "K-shaped" divergence: while </w:t>
      </w:r>
      <w:r w:rsidRPr="00AD2F89">
        <w:rPr>
          <w:b/>
          <w:bCs/>
        </w:rPr>
        <w:t>business investment and AI-driven capex</w:t>
      </w:r>
      <w:r w:rsidRPr="00AD2F89">
        <w:t xml:space="preserve"> remain robust, job growth has stalled, creating a unique environment of resilient demand paired with a softening labor market. Inflation remains "sticky," likely ending the year around </w:t>
      </w:r>
      <w:r w:rsidRPr="00AD2F89">
        <w:rPr>
          <w:b/>
          <w:bCs/>
        </w:rPr>
        <w:t>2.7% to 3.0%</w:t>
      </w:r>
      <w:r w:rsidRPr="00AD2F89">
        <w:t>, still slightly above the Federal Reserve’s target. The primary macro risk is whether this labor market softness tips into a deeper downturn.</w:t>
      </w:r>
    </w:p>
    <w:p w14:paraId="673A4275" w14:textId="77777777" w:rsidR="004E4624" w:rsidRPr="00AD2F89" w:rsidRDefault="004E4624" w:rsidP="004E4624">
      <w:r w:rsidRPr="00AD2F89">
        <w:rPr>
          <w:b/>
          <w:bCs/>
        </w:rPr>
        <w:t>Stocks</w:t>
      </w:r>
      <w:r w:rsidRPr="00AD2F89">
        <w:t xml:space="preserve"> We maintain a </w:t>
      </w:r>
      <w:r w:rsidRPr="00AD2F89">
        <w:rPr>
          <w:b/>
          <w:bCs/>
        </w:rPr>
        <w:t>constructive outlook for US equities</w:t>
      </w:r>
      <w:r w:rsidRPr="00AD2F89">
        <w:t xml:space="preserve">, with a price target for the S&amp;P 500 of </w:t>
      </w:r>
      <w:r w:rsidRPr="00AD2F89">
        <w:rPr>
          <w:b/>
          <w:bCs/>
        </w:rPr>
        <w:t>7,500</w:t>
      </w:r>
      <w:r w:rsidRPr="00AD2F89">
        <w:t xml:space="preserve"> by </w:t>
      </w:r>
      <w:proofErr w:type="gramStart"/>
      <w:r w:rsidRPr="00AD2F89">
        <w:t>year-end</w:t>
      </w:r>
      <w:proofErr w:type="gramEnd"/>
      <w:r w:rsidRPr="00AD2F89">
        <w:t xml:space="preserve"> </w:t>
      </w:r>
      <w:proofErr w:type="gramStart"/>
      <w:r w:rsidRPr="00AD2F89">
        <w:t>2026</w:t>
      </w:r>
      <w:proofErr w:type="gramEnd"/>
      <w:r w:rsidRPr="00AD2F89">
        <w:t xml:space="preserve">. Corporate earnings are expected to accelerate at an above-trend rate of </w:t>
      </w:r>
      <w:r w:rsidRPr="00AD2F89">
        <w:rPr>
          <w:b/>
          <w:bCs/>
        </w:rPr>
        <w:t>13–15%</w:t>
      </w:r>
      <w:r w:rsidRPr="00AD2F89">
        <w:t xml:space="preserve">, driven by secular tailwinds from AI and potential </w:t>
      </w:r>
      <w:r w:rsidRPr="00AD2F89">
        <w:rPr>
          <w:b/>
          <w:bCs/>
        </w:rPr>
        <w:t>regulatory rollbacks</w:t>
      </w:r>
      <w:r w:rsidRPr="00AD2F89">
        <w:t xml:space="preserve">. While the "Magnificent Seven" continue to benefit from the AI infrastructure buildout, the market is </w:t>
      </w:r>
      <w:r w:rsidRPr="00AD2F89">
        <w:rPr>
          <w:b/>
          <w:bCs/>
        </w:rPr>
        <w:t>broadening</w:t>
      </w:r>
      <w:r w:rsidRPr="00AD2F89">
        <w:t xml:space="preserve">. Opportunities are emerging in sectors left behind by the initial tech boom, including </w:t>
      </w:r>
      <w:r w:rsidRPr="00AD2F89">
        <w:rPr>
          <w:b/>
          <w:bCs/>
        </w:rPr>
        <w:t>industrials, financials, and consumer discretionary</w:t>
      </w:r>
      <w:r w:rsidRPr="00AD2F89">
        <w:t xml:space="preserve">. However, with valuations at the higher end of historical ranges, we anticipate </w:t>
      </w:r>
      <w:r w:rsidRPr="00AD2F89">
        <w:rPr>
          <w:b/>
          <w:bCs/>
        </w:rPr>
        <w:t>increased volatility</w:t>
      </w:r>
      <w:r w:rsidRPr="00AD2F89">
        <w:t>.</w:t>
      </w:r>
    </w:p>
    <w:p w14:paraId="41148302" w14:textId="77777777" w:rsidR="004E4624" w:rsidRDefault="004E4624" w:rsidP="004E4624">
      <w:r w:rsidRPr="00AD2F89">
        <w:rPr>
          <w:b/>
          <w:bCs/>
        </w:rPr>
        <w:t>Fixed Income</w:t>
      </w:r>
      <w:r w:rsidRPr="00AD2F89">
        <w:t xml:space="preserve"> Bonds are poised to offer </w:t>
      </w:r>
      <w:r w:rsidRPr="00AD2F89">
        <w:rPr>
          <w:b/>
          <w:bCs/>
        </w:rPr>
        <w:t>essential ballast</w:t>
      </w:r>
      <w:r w:rsidRPr="00AD2F89">
        <w:t xml:space="preserve"> to portfolios as the Federal Reserve continues to normalize policy. We expect the federal funds rate to settle near a "neutral" level of </w:t>
      </w:r>
      <w:r w:rsidRPr="00AD2F89">
        <w:rPr>
          <w:b/>
          <w:bCs/>
        </w:rPr>
        <w:t>3.0% to 3.5%</w:t>
      </w:r>
      <w:r w:rsidRPr="00AD2F89">
        <w:t xml:space="preserve"> by the end of 2026. Starting yields remain attractive, with the 10-year Treasury yield projected to end the </w:t>
      </w:r>
      <w:proofErr w:type="gramStart"/>
      <w:r w:rsidRPr="00AD2F89">
        <w:t>year</w:t>
      </w:r>
      <w:proofErr w:type="gramEnd"/>
      <w:r w:rsidRPr="00AD2F89">
        <w:t xml:space="preserve"> </w:t>
      </w:r>
      <w:proofErr w:type="gramStart"/>
      <w:r w:rsidRPr="00AD2F89">
        <w:t>near</w:t>
      </w:r>
      <w:proofErr w:type="gramEnd"/>
      <w:r w:rsidRPr="00AD2F89">
        <w:t xml:space="preserve"> </w:t>
      </w:r>
      <w:r w:rsidRPr="00AD2F89">
        <w:rPr>
          <w:b/>
          <w:bCs/>
        </w:rPr>
        <w:t>4.35%</w:t>
      </w:r>
      <w:r w:rsidRPr="00AD2F89">
        <w:t xml:space="preserve">. While credit spreads are historically tight, </w:t>
      </w:r>
      <w:r w:rsidRPr="00AD2F89">
        <w:rPr>
          <w:b/>
          <w:bCs/>
        </w:rPr>
        <w:t>high-quality corporate bonds</w:t>
      </w:r>
      <w:r w:rsidRPr="00AD2F89">
        <w:t xml:space="preserve"> and </w:t>
      </w:r>
      <w:r w:rsidRPr="00AD2F89">
        <w:rPr>
          <w:b/>
          <w:bCs/>
        </w:rPr>
        <w:t>high-yield sectors</w:t>
      </w:r>
      <w:r w:rsidRPr="00AD2F89">
        <w:t xml:space="preserve"> with disciplined balance sheets offer compelling </w:t>
      </w:r>
      <w:proofErr w:type="gramStart"/>
      <w:r w:rsidRPr="00AD2F89">
        <w:t>carry</w:t>
      </w:r>
      <w:proofErr w:type="gramEnd"/>
      <w:r w:rsidRPr="00AD2F89">
        <w:t xml:space="preserve"> for income-focused investors.</w:t>
      </w:r>
    </w:p>
    <w:p w14:paraId="78293DE0" w14:textId="77777777" w:rsidR="00983C73" w:rsidRDefault="00983C73" w:rsidP="004E4624"/>
    <w:p w14:paraId="39C07A01" w14:textId="77777777" w:rsidR="00983C73" w:rsidRDefault="00983C73" w:rsidP="004E4624">
      <w:pPr>
        <w:rPr>
          <w:b/>
          <w:bCs/>
        </w:rPr>
      </w:pPr>
    </w:p>
    <w:p w14:paraId="6175083E" w14:textId="77777777" w:rsidR="00930019" w:rsidRDefault="00930019" w:rsidP="004E4624">
      <w:pPr>
        <w:rPr>
          <w:b/>
          <w:bCs/>
        </w:rPr>
      </w:pPr>
    </w:p>
    <w:p w14:paraId="4AF2AAE8" w14:textId="0EA81688" w:rsidR="004E4624" w:rsidRPr="00264725" w:rsidRDefault="004E4624" w:rsidP="004E4624">
      <w:pPr>
        <w:rPr>
          <w:b/>
          <w:bCs/>
        </w:rPr>
      </w:pPr>
      <w:r w:rsidRPr="00264725">
        <w:rPr>
          <w:b/>
          <w:bCs/>
        </w:rPr>
        <w:lastRenderedPageBreak/>
        <w:t>US Fixed Income: Navigating Tight Spreads and Supply Surges</w:t>
      </w:r>
    </w:p>
    <w:p w14:paraId="5A93758C" w14:textId="77777777" w:rsidR="004E4624" w:rsidRPr="00264725" w:rsidRDefault="004E4624" w:rsidP="004E4624">
      <w:r w:rsidRPr="00264725">
        <w:rPr>
          <w:b/>
          <w:bCs/>
        </w:rPr>
        <w:t>US Corporate Bonds (Investment Grade)</w:t>
      </w:r>
      <w:r w:rsidRPr="00264725">
        <w:t xml:space="preserve"> The outlook for US high-grade (HG) corporate bonds is characterized by </w:t>
      </w:r>
      <w:r w:rsidRPr="00264725">
        <w:rPr>
          <w:b/>
          <w:bCs/>
        </w:rPr>
        <w:t>solid fundamentals but modestly widening spreads</w:t>
      </w:r>
      <w:r w:rsidRPr="00264725">
        <w:t xml:space="preserve">. We anticipate credit spreads will move roughly 15 to 17 basis points wider, ending 2026 near </w:t>
      </w:r>
      <w:r w:rsidRPr="00264725">
        <w:rPr>
          <w:b/>
          <w:bCs/>
        </w:rPr>
        <w:t>110 bps</w:t>
      </w:r>
      <w:r w:rsidRPr="00264725">
        <w:t xml:space="preserve">. While corporate balance sheets remain in their best state in years—with the proportion of BBB-rated paper at record lows—we expect </w:t>
      </w:r>
      <w:r w:rsidRPr="00264725">
        <w:rPr>
          <w:b/>
          <w:bCs/>
        </w:rPr>
        <w:t>increased leverage and M&amp;A activity</w:t>
      </w:r>
      <w:r w:rsidRPr="00264725">
        <w:t xml:space="preserve"> to weigh on valuations. A primary driver of new supply will be the </w:t>
      </w:r>
      <w:r w:rsidRPr="00264725">
        <w:rPr>
          <w:b/>
          <w:bCs/>
        </w:rPr>
        <w:t>AI capex boom</w:t>
      </w:r>
      <w:r w:rsidRPr="00264725">
        <w:t xml:space="preserve">, as large technology firms tap debt markets to fund massive infrastructure buildouts. We expect a total return of approximately </w:t>
      </w:r>
      <w:r w:rsidRPr="00264725">
        <w:rPr>
          <w:b/>
          <w:bCs/>
        </w:rPr>
        <w:t>3.0%</w:t>
      </w:r>
      <w:r w:rsidRPr="00264725">
        <w:t xml:space="preserve"> for the sector and maintain a preference for </w:t>
      </w:r>
      <w:r w:rsidRPr="00264725">
        <w:rPr>
          <w:b/>
          <w:bCs/>
        </w:rPr>
        <w:t>Financials over Non-financials</w:t>
      </w:r>
      <w:r w:rsidRPr="00264725">
        <w:t>.</w:t>
      </w:r>
    </w:p>
    <w:p w14:paraId="661171F2" w14:textId="77777777" w:rsidR="004E4624" w:rsidRPr="00264725" w:rsidRDefault="004E4624" w:rsidP="004E4624">
      <w:r w:rsidRPr="00264725">
        <w:rPr>
          <w:b/>
          <w:bCs/>
        </w:rPr>
        <w:t>US Junk Bonds (High Yield)</w:t>
      </w:r>
      <w:r w:rsidRPr="00264725">
        <w:t xml:space="preserve"> We maintain a </w:t>
      </w:r>
      <w:r w:rsidRPr="00264725">
        <w:rPr>
          <w:b/>
          <w:bCs/>
        </w:rPr>
        <w:t>constructive outlook for the high-yield (HY) market</w:t>
      </w:r>
      <w:r w:rsidRPr="00264725">
        <w:t xml:space="preserve">, supported by a structural shift toward higher quality. BB-rated bonds now represent over 50% of the index, providing significant resilience during periods of market stress. We forecast HY bond spreads to widen by 30 to 35 basis points to </w:t>
      </w:r>
      <w:r w:rsidRPr="00264725">
        <w:rPr>
          <w:b/>
          <w:bCs/>
        </w:rPr>
        <w:t>375 bps</w:t>
      </w:r>
      <w:r w:rsidRPr="00264725">
        <w:t xml:space="preserve"> by year-end 2026, which should equate to a full-year return of roughly </w:t>
      </w:r>
      <w:r w:rsidRPr="00264725">
        <w:rPr>
          <w:b/>
          <w:bCs/>
        </w:rPr>
        <w:t>5.5%</w:t>
      </w:r>
      <w:r w:rsidRPr="00264725">
        <w:t xml:space="preserve">. Default rates are expected to remain </w:t>
      </w:r>
      <w:proofErr w:type="gramStart"/>
      <w:r w:rsidRPr="00264725">
        <w:t>benign</w:t>
      </w:r>
      <w:proofErr w:type="gramEnd"/>
      <w:r w:rsidRPr="00264725">
        <w:t xml:space="preserve"> at </w:t>
      </w:r>
      <w:r w:rsidRPr="00264725">
        <w:rPr>
          <w:b/>
          <w:bCs/>
        </w:rPr>
        <w:t>1.75%</w:t>
      </w:r>
      <w:r w:rsidRPr="00264725">
        <w:t xml:space="preserve">, well below the post-GFC average. Investors should focus on </w:t>
      </w:r>
      <w:r w:rsidRPr="00264725">
        <w:rPr>
          <w:b/>
          <w:bCs/>
        </w:rPr>
        <w:t>carry</w:t>
      </w:r>
      <w:r w:rsidRPr="00264725">
        <w:t xml:space="preserve"> as a primary driver of returns, with a tactical preference for </w:t>
      </w:r>
      <w:r w:rsidRPr="00264725">
        <w:rPr>
          <w:b/>
          <w:bCs/>
        </w:rPr>
        <w:t>BB-rated issuers</w:t>
      </w:r>
      <w:r w:rsidRPr="00264725">
        <w:t xml:space="preserve"> while remaining underweight the most speculative CCC-rated credits.</w:t>
      </w:r>
    </w:p>
    <w:p w14:paraId="464D34F1" w14:textId="77777777" w:rsidR="004E4624" w:rsidRPr="00264725" w:rsidRDefault="00000000" w:rsidP="004E4624">
      <w:r>
        <w:pict w14:anchorId="68719C50">
          <v:rect id="_x0000_i1026" style="width:0;height:1.5pt" o:hralign="center" o:hrstd="t" o:hr="t" fillcolor="#a0a0a0" stroked="f"/>
        </w:pict>
      </w:r>
    </w:p>
    <w:p w14:paraId="1AF4EE33" w14:textId="77777777" w:rsidR="004E4624" w:rsidRPr="00264725" w:rsidRDefault="004E4624" w:rsidP="004E4624">
      <w:pPr>
        <w:rPr>
          <w:b/>
          <w:bCs/>
        </w:rPr>
      </w:pPr>
      <w:r w:rsidRPr="00264725">
        <w:rPr>
          <w:b/>
          <w:bCs/>
        </w:rPr>
        <w:t>US Small Caps: The Potential for a Leadership Shift</w:t>
      </w:r>
    </w:p>
    <w:p w14:paraId="4162DC8A" w14:textId="77777777" w:rsidR="004E4624" w:rsidRPr="00264725" w:rsidRDefault="004E4624" w:rsidP="004E4624">
      <w:r w:rsidRPr="00264725">
        <w:t xml:space="preserve">While our base case for 2026 remains focused on </w:t>
      </w:r>
      <w:r w:rsidRPr="00264725">
        <w:rPr>
          <w:b/>
          <w:bCs/>
        </w:rPr>
        <w:t>Quality Growth and Large-Cap leaders</w:t>
      </w:r>
      <w:r w:rsidRPr="00264725">
        <w:t xml:space="preserve">, we recognize a significant opportunity for </w:t>
      </w:r>
      <w:r w:rsidRPr="00264725">
        <w:rPr>
          <w:b/>
          <w:bCs/>
        </w:rPr>
        <w:t>Small Caps to outperform</w:t>
      </w:r>
      <w:r w:rsidRPr="00264725">
        <w:t xml:space="preserve"> should the economy transition into a "Goldilocks" environment. In an upside scenario characterized by "immaculate disinflation" and further Federal Reserve easing, we expect a </w:t>
      </w:r>
      <w:r w:rsidRPr="00264725">
        <w:rPr>
          <w:b/>
          <w:bCs/>
        </w:rPr>
        <w:t>broadening of market leadership</w:t>
      </w:r>
      <w:r w:rsidRPr="00264725">
        <w:t xml:space="preserve"> where Small Caps and equal-weighted indices (SPW) outpace the concentrated S&amp;P 500. Currently, we hold an underweight stance on "Size" as a factor, but we are monitoring for a </w:t>
      </w:r>
      <w:r w:rsidRPr="00264725">
        <w:rPr>
          <w:b/>
          <w:bCs/>
        </w:rPr>
        <w:t>cyclical rotation</w:t>
      </w:r>
      <w:r w:rsidRPr="00264725">
        <w:t xml:space="preserve"> as regulatory rollbacks and lower borrowing costs begin to provide a disproportionate fillip to smaller, </w:t>
      </w:r>
      <w:proofErr w:type="gramStart"/>
      <w:r w:rsidRPr="00264725">
        <w:t>domestically-oriented</w:t>
      </w:r>
      <w:proofErr w:type="gramEnd"/>
      <w:r w:rsidRPr="00264725">
        <w:t xml:space="preserve"> firms.</w:t>
      </w:r>
    </w:p>
    <w:p w14:paraId="08B374F3" w14:textId="77777777" w:rsidR="004E4624" w:rsidRDefault="004E4624" w:rsidP="004E4624"/>
    <w:p w14:paraId="679A4772" w14:textId="77777777" w:rsidR="004E4624" w:rsidRPr="00AD2F89" w:rsidRDefault="00000000" w:rsidP="004E4624">
      <w:r>
        <w:pict w14:anchorId="6986AAB0">
          <v:rect id="_x0000_i1027" style="width:0;height:1.5pt" o:hralign="center" o:hrstd="t" o:hr="t" fillcolor="#a0a0a0" stroked="f"/>
        </w:pict>
      </w:r>
    </w:p>
    <w:p w14:paraId="24B3D0F5" w14:textId="77777777" w:rsidR="004E4624" w:rsidRPr="00AD2F89" w:rsidRDefault="004E4624" w:rsidP="004E4624">
      <w:pPr>
        <w:rPr>
          <w:b/>
          <w:bCs/>
        </w:rPr>
      </w:pPr>
      <w:r w:rsidRPr="00AD2F89">
        <w:rPr>
          <w:b/>
          <w:bCs/>
        </w:rPr>
        <w:t>Developed Markets 2026 Outlook: Fiscal Catalysts and Policy Divergence</w:t>
      </w:r>
    </w:p>
    <w:p w14:paraId="21641A1A" w14:textId="77777777" w:rsidR="004E4624" w:rsidRPr="00AD2F89" w:rsidRDefault="004E4624" w:rsidP="004E4624">
      <w:r w:rsidRPr="00AD2F89">
        <w:t xml:space="preserve">Heading into 2026, </w:t>
      </w:r>
      <w:r w:rsidRPr="00AD2F89">
        <w:rPr>
          <w:b/>
          <w:bCs/>
        </w:rPr>
        <w:t>Developed Markets (DM) are expected to experience a "Great Global Restructuring"</w:t>
      </w:r>
      <w:r w:rsidRPr="00AD2F89">
        <w:t xml:space="preserve"> where economic stability </w:t>
      </w:r>
      <w:proofErr w:type="gramStart"/>
      <w:r w:rsidRPr="00AD2F89">
        <w:t>improves</w:t>
      </w:r>
      <w:proofErr w:type="gramEnd"/>
      <w:r w:rsidRPr="00AD2F89">
        <w:t xml:space="preserve"> and growth trajectories begin to converge across major regions. While high valuations and mounting government debt remain risks, </w:t>
      </w:r>
      <w:r w:rsidRPr="00AD2F89">
        <w:rPr>
          <w:b/>
          <w:bCs/>
        </w:rPr>
        <w:t>bold government stimulus and a clearing path for global trade</w:t>
      </w:r>
      <w:r w:rsidRPr="00AD2F89">
        <w:t xml:space="preserve"> are freeing businesses to make capital decisions, leading to a more balanced investment environment outside of the United States.</w:t>
      </w:r>
    </w:p>
    <w:p w14:paraId="184A1BC8" w14:textId="77777777" w:rsidR="004E4624" w:rsidRPr="00AD2F89" w:rsidRDefault="00000000" w:rsidP="004E4624">
      <w:r>
        <w:pict w14:anchorId="6E4F04EA">
          <v:rect id="_x0000_i1028" style="width:0;height:1.5pt" o:hralign="center" o:hrstd="t" o:hr="t" fillcolor="#a0a0a0" stroked="f"/>
        </w:pict>
      </w:r>
    </w:p>
    <w:p w14:paraId="6E18944E" w14:textId="77777777" w:rsidR="004E4624" w:rsidRPr="00AD2F89" w:rsidRDefault="004E4624" w:rsidP="004E4624">
      <w:pPr>
        <w:rPr>
          <w:b/>
          <w:bCs/>
        </w:rPr>
      </w:pPr>
      <w:r w:rsidRPr="00AD2F89">
        <w:rPr>
          <w:b/>
          <w:bCs/>
        </w:rPr>
        <w:t>Europe and the United Kingdom: A Resurgence Driven by Sovereignty</w:t>
      </w:r>
    </w:p>
    <w:p w14:paraId="3FFE6D92" w14:textId="77777777" w:rsidR="004E4624" w:rsidRPr="00AD2F89" w:rsidRDefault="004E4624" w:rsidP="004E4624">
      <w:r w:rsidRPr="00AD2F89">
        <w:rPr>
          <w:b/>
          <w:bCs/>
        </w:rPr>
        <w:t>Eurozone Economy and Policy</w:t>
      </w:r>
      <w:r w:rsidRPr="00AD2F89">
        <w:t xml:space="preserve"> </w:t>
      </w:r>
      <w:proofErr w:type="gramStart"/>
      <w:r w:rsidRPr="00AD2F89">
        <w:t>The</w:t>
      </w:r>
      <w:proofErr w:type="gramEnd"/>
      <w:r w:rsidRPr="00AD2F89">
        <w:t xml:space="preserve"> European economy is poised for a </w:t>
      </w:r>
      <w:r w:rsidRPr="00AD2F89">
        <w:rPr>
          <w:b/>
          <w:bCs/>
        </w:rPr>
        <w:t>meaningful resurgence</w:t>
      </w:r>
      <w:r w:rsidRPr="00AD2F89">
        <w:t xml:space="preserve">, with growth projected to accelerate to between </w:t>
      </w:r>
      <w:r w:rsidRPr="00AD2F89">
        <w:rPr>
          <w:b/>
          <w:bCs/>
        </w:rPr>
        <w:t>1.3% and 1.4%</w:t>
      </w:r>
      <w:r w:rsidRPr="00AD2F89">
        <w:t xml:space="preserve"> in 2026. This revival is primarily fueled by a shift toward </w:t>
      </w:r>
      <w:r w:rsidRPr="00AD2F89">
        <w:rPr>
          <w:b/>
          <w:bCs/>
        </w:rPr>
        <w:t>"Sovereignty and Competitiveness,"</w:t>
      </w:r>
      <w:r w:rsidRPr="00AD2F89">
        <w:t xml:space="preserve"> epitomized by Germany’s shelving of fiscal restraint to unveil a </w:t>
      </w:r>
      <w:r w:rsidRPr="00AD2F89">
        <w:rPr>
          <w:b/>
          <w:bCs/>
        </w:rPr>
        <w:t>€500 billion infrastructure and defense stimulus package</w:t>
      </w:r>
      <w:r w:rsidRPr="00AD2F89">
        <w:t xml:space="preserve">. While most global central banks are leaning toward easing, the </w:t>
      </w:r>
      <w:r w:rsidRPr="00AD2F89">
        <w:rPr>
          <w:b/>
          <w:bCs/>
        </w:rPr>
        <w:t>European Central Bank (ECB) could be an outlier</w:t>
      </w:r>
      <w:r w:rsidRPr="00AD2F89">
        <w:t>, potentially hiking rates or remaining firmly on hold to combat renewed inflationary pressures stemming from this fiscal loosening.</w:t>
      </w:r>
    </w:p>
    <w:p w14:paraId="1EBE4FFC" w14:textId="77777777" w:rsidR="004E4624" w:rsidRPr="00AD2F89" w:rsidRDefault="004E4624" w:rsidP="004E4624">
      <w:r w:rsidRPr="00AD2F89">
        <w:rPr>
          <w:b/>
          <w:bCs/>
        </w:rPr>
        <w:lastRenderedPageBreak/>
        <w:t>European Equities and Fixed Income</w:t>
      </w:r>
      <w:r w:rsidRPr="00AD2F89">
        <w:t xml:space="preserve"> We maintain an </w:t>
      </w:r>
      <w:r w:rsidRPr="00AD2F89">
        <w:rPr>
          <w:b/>
          <w:bCs/>
        </w:rPr>
        <w:t>overweight stance on Eurozone equities</w:t>
      </w:r>
      <w:r w:rsidRPr="00AD2F89">
        <w:t xml:space="preserve">, particularly in core markets like France and Germany, which are positioned for a "catch-up" as credit impulses strengthen. </w:t>
      </w:r>
      <w:r w:rsidRPr="00AD2F89">
        <w:rPr>
          <w:b/>
          <w:bCs/>
        </w:rPr>
        <w:t>Industrials, construction materials, and defense firms</w:t>
      </w:r>
      <w:r w:rsidRPr="00AD2F89">
        <w:t xml:space="preserve"> (such as Rheinmetall and Rolls-Royce) are expected to be primary beneficiaries of the new capital spending cycle. In </w:t>
      </w:r>
      <w:proofErr w:type="gramStart"/>
      <w:r w:rsidRPr="00AD2F89">
        <w:t>fixed</w:t>
      </w:r>
      <w:proofErr w:type="gramEnd"/>
      <w:r w:rsidRPr="00AD2F89">
        <w:t xml:space="preserve"> income, we expect </w:t>
      </w:r>
      <w:r w:rsidRPr="00AD2F89">
        <w:rPr>
          <w:b/>
          <w:bCs/>
        </w:rPr>
        <w:t>10-year Bund yields to anchor near 2.75%</w:t>
      </w:r>
      <w:r w:rsidRPr="00AD2F89">
        <w:t xml:space="preserve">, offering attractive </w:t>
      </w:r>
      <w:proofErr w:type="gramStart"/>
      <w:r w:rsidRPr="00AD2F89">
        <w:t>carry</w:t>
      </w:r>
      <w:proofErr w:type="gramEnd"/>
      <w:r w:rsidRPr="00AD2F89">
        <w:t xml:space="preserve"> as the ECB maintains its neutral policy rate.</w:t>
      </w:r>
    </w:p>
    <w:p w14:paraId="060F3724" w14:textId="77777777" w:rsidR="004E4624" w:rsidRPr="00AD2F89" w:rsidRDefault="004E4624" w:rsidP="004E4624">
      <w:r w:rsidRPr="00AD2F89">
        <w:rPr>
          <w:b/>
          <w:bCs/>
        </w:rPr>
        <w:t>United Kingdom</w:t>
      </w:r>
      <w:r w:rsidRPr="00AD2F89">
        <w:t xml:space="preserve"> </w:t>
      </w:r>
      <w:proofErr w:type="gramStart"/>
      <w:r w:rsidRPr="00AD2F89">
        <w:t>The</w:t>
      </w:r>
      <w:proofErr w:type="gramEnd"/>
      <w:r w:rsidRPr="00AD2F89">
        <w:t xml:space="preserve"> UK outlook remains more constrained than the continent, with growth forecasted at </w:t>
      </w:r>
      <w:r w:rsidRPr="00AD2F89">
        <w:rPr>
          <w:b/>
          <w:bCs/>
        </w:rPr>
        <w:t>0.9% to 1.1%</w:t>
      </w:r>
      <w:r w:rsidRPr="00AD2F89">
        <w:t xml:space="preserve">. While the UK has avoided the worst-case trade scenarios, </w:t>
      </w:r>
      <w:r w:rsidRPr="00AD2F89">
        <w:rPr>
          <w:b/>
          <w:bCs/>
        </w:rPr>
        <w:t>fiscal vulnerabilities persist</w:t>
      </w:r>
      <w:r w:rsidRPr="00AD2F89">
        <w:t xml:space="preserve">, and inflation remains more problematic than in the Euro area. We anticipate the </w:t>
      </w:r>
      <w:r w:rsidRPr="00AD2F89">
        <w:rPr>
          <w:b/>
          <w:bCs/>
        </w:rPr>
        <w:t>Bank of England will continue cutting rates</w:t>
      </w:r>
      <w:r w:rsidRPr="00AD2F89">
        <w:t xml:space="preserve"> toward a terminal level of 3.25% as labor market slack increases, potentially leading to the outperformance of UK Gilts.</w:t>
      </w:r>
    </w:p>
    <w:p w14:paraId="10C30339" w14:textId="77777777" w:rsidR="004E4624" w:rsidRPr="00AD2F89" w:rsidRDefault="00000000" w:rsidP="004E4624">
      <w:r>
        <w:pict w14:anchorId="687C832F">
          <v:rect id="_x0000_i1029" style="width:0;height:1.5pt" o:hralign="center" o:hrstd="t" o:hr="t" fillcolor="#a0a0a0" stroked="f"/>
        </w:pict>
      </w:r>
    </w:p>
    <w:p w14:paraId="245F5C74" w14:textId="77777777" w:rsidR="004E4624" w:rsidRPr="00AD2F89" w:rsidRDefault="004E4624" w:rsidP="004E4624">
      <w:pPr>
        <w:rPr>
          <w:b/>
          <w:bCs/>
        </w:rPr>
      </w:pPr>
      <w:r w:rsidRPr="00AD2F89">
        <w:rPr>
          <w:b/>
          <w:bCs/>
        </w:rPr>
        <w:t>Japan: The Dawn of Abenomics 2.0</w:t>
      </w:r>
    </w:p>
    <w:p w14:paraId="796A9133" w14:textId="77777777" w:rsidR="004E4624" w:rsidRPr="00AD2F89" w:rsidRDefault="004E4624" w:rsidP="004E4624">
      <w:r w:rsidRPr="00AD2F89">
        <w:t xml:space="preserve">Japan has reached a definitive </w:t>
      </w:r>
      <w:r w:rsidRPr="00AD2F89">
        <w:rPr>
          <w:b/>
          <w:bCs/>
        </w:rPr>
        <w:t>turning point toward sustained reflation</w:t>
      </w:r>
      <w:r w:rsidRPr="00AD2F89">
        <w:t xml:space="preserve">, finally escaping decades of economic stagnation. The October 2025 election of Sanae </w:t>
      </w:r>
      <w:proofErr w:type="spellStart"/>
      <w:r w:rsidRPr="00AD2F89">
        <w:t>Takaichi</w:t>
      </w:r>
      <w:proofErr w:type="spellEnd"/>
      <w:r w:rsidRPr="00AD2F89">
        <w:t xml:space="preserve"> as Prime Minister has ushered in </w:t>
      </w:r>
      <w:r w:rsidRPr="00AD2F89">
        <w:rPr>
          <w:b/>
          <w:bCs/>
        </w:rPr>
        <w:t>"</w:t>
      </w:r>
      <w:proofErr w:type="spellStart"/>
      <w:r w:rsidRPr="00AD2F89">
        <w:rPr>
          <w:b/>
          <w:bCs/>
        </w:rPr>
        <w:t>Sanaenomics</w:t>
      </w:r>
      <w:proofErr w:type="spellEnd"/>
      <w:r w:rsidRPr="00AD2F89">
        <w:rPr>
          <w:b/>
          <w:bCs/>
        </w:rPr>
        <w:t>,"</w:t>
      </w:r>
      <w:r w:rsidRPr="00AD2F89">
        <w:t xml:space="preserve"> a policy framework focused on consumer demand stimulus and strategic investment in energy and AI semiconductors.</w:t>
      </w:r>
    </w:p>
    <w:p w14:paraId="0851412D" w14:textId="77777777" w:rsidR="004E4624" w:rsidRPr="00AD2F89" w:rsidRDefault="004E4624" w:rsidP="004E4624">
      <w:pPr>
        <w:numPr>
          <w:ilvl w:val="0"/>
          <w:numId w:val="13"/>
        </w:numPr>
        <w:spacing w:after="160" w:line="278" w:lineRule="auto"/>
      </w:pPr>
      <w:r w:rsidRPr="00AD2F89">
        <w:rPr>
          <w:b/>
          <w:bCs/>
        </w:rPr>
        <w:t>Equities:</w:t>
      </w:r>
      <w:r w:rsidRPr="00AD2F89">
        <w:t xml:space="preserve"> We set a year-end 2026 target for the </w:t>
      </w:r>
      <w:r w:rsidRPr="00AD2F89">
        <w:rPr>
          <w:b/>
          <w:bCs/>
        </w:rPr>
        <w:t>TOPIX at 3,750</w:t>
      </w:r>
      <w:r w:rsidRPr="00AD2F89">
        <w:t xml:space="preserve">, representing roughly </w:t>
      </w:r>
      <w:r w:rsidRPr="00AD2F89">
        <w:rPr>
          <w:b/>
          <w:bCs/>
        </w:rPr>
        <w:t>12% to 14% upside</w:t>
      </w:r>
      <w:r w:rsidRPr="00AD2F89">
        <w:t xml:space="preserve"> from current levels. Ongoing </w:t>
      </w:r>
      <w:r w:rsidRPr="00AD2F89">
        <w:rPr>
          <w:b/>
          <w:bCs/>
        </w:rPr>
        <w:t>corporate governance reforms</w:t>
      </w:r>
      <w:r w:rsidRPr="00AD2F89">
        <w:t xml:space="preserve"> aimed at unlocking non-productive surplus cash on balance sheets are expected to drive ROE above 10%.</w:t>
      </w:r>
    </w:p>
    <w:p w14:paraId="303E0156" w14:textId="77777777" w:rsidR="004E4624" w:rsidRPr="00AD2F89" w:rsidRDefault="004E4624" w:rsidP="004E4624">
      <w:pPr>
        <w:numPr>
          <w:ilvl w:val="0"/>
          <w:numId w:val="13"/>
        </w:numPr>
        <w:spacing w:after="160" w:line="278" w:lineRule="auto"/>
      </w:pPr>
      <w:r w:rsidRPr="00AD2F89">
        <w:rPr>
          <w:b/>
          <w:bCs/>
        </w:rPr>
        <w:t>Monetary Policy:</w:t>
      </w:r>
      <w:r w:rsidRPr="00AD2F89">
        <w:t xml:space="preserve"> The Bank of Japan is expected to continue its </w:t>
      </w:r>
      <w:r w:rsidRPr="00AD2F89">
        <w:rPr>
          <w:b/>
          <w:bCs/>
        </w:rPr>
        <w:t>gradual normalization of rates</w:t>
      </w:r>
      <w:r w:rsidRPr="00AD2F89">
        <w:t xml:space="preserve">, with the policy rate potentially reaching </w:t>
      </w:r>
      <w:r w:rsidRPr="00AD2F89">
        <w:rPr>
          <w:b/>
          <w:bCs/>
        </w:rPr>
        <w:t>1% by the third quarter of 2026</w:t>
      </w:r>
      <w:r w:rsidRPr="00AD2F89">
        <w:t>.</w:t>
      </w:r>
    </w:p>
    <w:p w14:paraId="55C61D9A" w14:textId="77777777" w:rsidR="004E4624" w:rsidRPr="00AD2F89" w:rsidRDefault="004E4624" w:rsidP="004E4624">
      <w:pPr>
        <w:numPr>
          <w:ilvl w:val="0"/>
          <w:numId w:val="13"/>
        </w:numPr>
        <w:spacing w:after="160" w:line="278" w:lineRule="auto"/>
      </w:pPr>
      <w:r w:rsidRPr="00AD2F89">
        <w:rPr>
          <w:b/>
          <w:bCs/>
        </w:rPr>
        <w:t>Valuations:</w:t>
      </w:r>
      <w:r w:rsidRPr="00AD2F89">
        <w:t xml:space="preserve"> As productivity grows and inflation anchors, the historical "ceiling" of a 17x P/E ratio for Japanese stocks may finally lift, allowing valuations to </w:t>
      </w:r>
      <w:r w:rsidRPr="00AD2F89">
        <w:rPr>
          <w:b/>
          <w:bCs/>
        </w:rPr>
        <w:t>align more closely with other developed markets</w:t>
      </w:r>
      <w:r w:rsidRPr="00AD2F89">
        <w:t xml:space="preserve"> at 20-25x over time.</w:t>
      </w:r>
    </w:p>
    <w:p w14:paraId="2C6A8339" w14:textId="77777777" w:rsidR="004E4624" w:rsidRPr="00AD2F89" w:rsidRDefault="00000000" w:rsidP="004E4624">
      <w:r>
        <w:pict w14:anchorId="0BC19DC9">
          <v:rect id="_x0000_i1030" style="width:0;height:1.5pt" o:hralign="center" o:hrstd="t" o:hr="t" fillcolor="#a0a0a0" stroked="f"/>
        </w:pict>
      </w:r>
    </w:p>
    <w:p w14:paraId="0D38F93A" w14:textId="77777777" w:rsidR="004E4624" w:rsidRPr="00AD2F89" w:rsidRDefault="004E4624" w:rsidP="004E4624">
      <w:pPr>
        <w:rPr>
          <w:b/>
          <w:bCs/>
        </w:rPr>
      </w:pPr>
      <w:r w:rsidRPr="00AD2F89">
        <w:rPr>
          <w:b/>
          <w:bCs/>
        </w:rPr>
        <w:t>Canada, Australia, and Scandinavia: Procyclical Beneficiaries</w:t>
      </w:r>
    </w:p>
    <w:p w14:paraId="5DBDDF8A" w14:textId="77777777" w:rsidR="004E4624" w:rsidRPr="00AD2F89" w:rsidRDefault="004E4624" w:rsidP="004E4624">
      <w:r w:rsidRPr="00AD2F89">
        <w:rPr>
          <w:b/>
          <w:bCs/>
        </w:rPr>
        <w:t>G10 Currencies and Growth</w:t>
      </w:r>
      <w:r w:rsidRPr="00AD2F89">
        <w:t xml:space="preserve"> The baseline scenario for 2026 favors a </w:t>
      </w:r>
      <w:r w:rsidRPr="00AD2F89">
        <w:rPr>
          <w:b/>
          <w:bCs/>
        </w:rPr>
        <w:t>procyclical flavor for global FX</w:t>
      </w:r>
      <w:r w:rsidRPr="00AD2F89">
        <w:t xml:space="preserve">, with high-beta G10 currencies such as the </w:t>
      </w:r>
      <w:r w:rsidRPr="00AD2F89">
        <w:rPr>
          <w:b/>
          <w:bCs/>
        </w:rPr>
        <w:t>Australian Dollar (AUD), New Zealand Dollar (NZD), and Scandinavian currencies</w:t>
      </w:r>
      <w:r w:rsidRPr="00AD2F89">
        <w:t xml:space="preserve"> expected to be key beneficiaries. These regions are set to benefit from improving global trade and resilient demand for commodities like copper.</w:t>
      </w:r>
    </w:p>
    <w:p w14:paraId="5835972F" w14:textId="77777777" w:rsidR="004E4624" w:rsidRPr="00AD2F89" w:rsidRDefault="004E4624" w:rsidP="004E4624">
      <w:r w:rsidRPr="00AD2F89">
        <w:rPr>
          <w:b/>
          <w:bCs/>
        </w:rPr>
        <w:t>Regional Monetary Policy</w:t>
      </w:r>
    </w:p>
    <w:p w14:paraId="1AF5CF0D" w14:textId="77777777" w:rsidR="004E4624" w:rsidRPr="00AD2F89" w:rsidRDefault="004E4624" w:rsidP="004E4624">
      <w:pPr>
        <w:numPr>
          <w:ilvl w:val="0"/>
          <w:numId w:val="14"/>
        </w:numPr>
        <w:spacing w:after="160" w:line="278" w:lineRule="auto"/>
      </w:pPr>
      <w:r w:rsidRPr="00AD2F89">
        <w:rPr>
          <w:b/>
          <w:bCs/>
        </w:rPr>
        <w:t>Scandinavia:</w:t>
      </w:r>
      <w:r w:rsidRPr="00AD2F89">
        <w:t xml:space="preserve"> We expect outright </w:t>
      </w:r>
      <w:r w:rsidRPr="00AD2F89">
        <w:rPr>
          <w:b/>
          <w:bCs/>
        </w:rPr>
        <w:t>fiscal easing in Sweden and Norway</w:t>
      </w:r>
      <w:r w:rsidRPr="00AD2F89">
        <w:t xml:space="preserve"> to support regional growth. While the </w:t>
      </w:r>
      <w:proofErr w:type="spellStart"/>
      <w:r w:rsidRPr="00AD2F89">
        <w:rPr>
          <w:b/>
          <w:bCs/>
        </w:rPr>
        <w:t>Norges</w:t>
      </w:r>
      <w:proofErr w:type="spellEnd"/>
      <w:r w:rsidRPr="00AD2F89">
        <w:rPr>
          <w:b/>
          <w:bCs/>
        </w:rPr>
        <w:t xml:space="preserve"> Bank</w:t>
      </w:r>
      <w:r w:rsidRPr="00AD2F89">
        <w:t xml:space="preserve"> is anticipated to deliver rate cuts to support a fragile labor market, the </w:t>
      </w:r>
      <w:r w:rsidRPr="00AD2F89">
        <w:rPr>
          <w:b/>
          <w:bCs/>
        </w:rPr>
        <w:t>Riksbank</w:t>
      </w:r>
      <w:r w:rsidRPr="00AD2F89">
        <w:t xml:space="preserve"> is expected to remain on hold near 1.75% for an extended period.</w:t>
      </w:r>
    </w:p>
    <w:p w14:paraId="6314EB8E" w14:textId="77777777" w:rsidR="004E4624" w:rsidRPr="00AD2F89" w:rsidRDefault="004E4624" w:rsidP="004E4624">
      <w:pPr>
        <w:numPr>
          <w:ilvl w:val="0"/>
          <w:numId w:val="14"/>
        </w:numPr>
        <w:spacing w:after="160" w:line="278" w:lineRule="auto"/>
      </w:pPr>
      <w:r w:rsidRPr="00AD2F89">
        <w:rPr>
          <w:b/>
          <w:bCs/>
        </w:rPr>
        <w:t>Canada and Australia:</w:t>
      </w:r>
      <w:r w:rsidRPr="00AD2F89">
        <w:t xml:space="preserve"> Central banks in these regions have recently shifted toward pricing in </w:t>
      </w:r>
      <w:r w:rsidRPr="00AD2F89">
        <w:rPr>
          <w:b/>
          <w:bCs/>
        </w:rPr>
        <w:t>hike risks</w:t>
      </w:r>
      <w:r w:rsidRPr="00AD2F89">
        <w:t>. While we view these moves as potentially premature, they illustrate that markets are quick to lose faith in rate cuts whenever the growth-employment mix improves in these resource-rich economies.</w:t>
      </w:r>
    </w:p>
    <w:p w14:paraId="349D8B84" w14:textId="77777777" w:rsidR="004E4624" w:rsidRPr="00AD2F89" w:rsidRDefault="00000000" w:rsidP="004E4624">
      <w:r>
        <w:lastRenderedPageBreak/>
        <w:pict w14:anchorId="1DCED73A">
          <v:rect id="_x0000_i1031" style="width:0;height:1.5pt" o:hralign="center" o:hrstd="t" o:hr="t" fillcolor="#a0a0a0" stroked="f"/>
        </w:pict>
      </w:r>
    </w:p>
    <w:p w14:paraId="1AFE1422" w14:textId="77777777" w:rsidR="004E4624" w:rsidRPr="00AD2F89" w:rsidRDefault="004E4624" w:rsidP="004E4624">
      <w:pPr>
        <w:rPr>
          <w:b/>
          <w:bCs/>
        </w:rPr>
      </w:pPr>
      <w:r w:rsidRPr="00AD2F89">
        <w:rPr>
          <w:b/>
          <w:bCs/>
        </w:rPr>
        <w:t>Developed Markets Risk Perspectives</w:t>
      </w:r>
    </w:p>
    <w:p w14:paraId="20571347" w14:textId="77777777" w:rsidR="004E4624" w:rsidRPr="00AD2F89" w:rsidRDefault="004E4624" w:rsidP="004E4624">
      <w:r w:rsidRPr="00AD2F89">
        <w:rPr>
          <w:b/>
          <w:bCs/>
        </w:rPr>
        <w:t>Fiscal Sustainability and NATO</w:t>
      </w:r>
      <w:r w:rsidRPr="00AD2F89">
        <w:t xml:space="preserve"> A looming shadow over the DM outlook is the </w:t>
      </w:r>
      <w:r w:rsidRPr="00AD2F89">
        <w:rPr>
          <w:b/>
          <w:bCs/>
        </w:rPr>
        <w:t>mounting government debt</w:t>
      </w:r>
      <w:r w:rsidRPr="00AD2F89">
        <w:t xml:space="preserve">, particularly as NATO allies target defense spending of </w:t>
      </w:r>
      <w:r w:rsidRPr="00AD2F89">
        <w:rPr>
          <w:b/>
          <w:bCs/>
        </w:rPr>
        <w:t>5% of GDP</w:t>
      </w:r>
      <w:r w:rsidRPr="00AD2F89">
        <w:t xml:space="preserve"> (up from 2%). While these expenditures act as a growth catalyst for the aerospace and defense sectors, they also contribute to </w:t>
      </w:r>
      <w:r w:rsidRPr="00AD2F89">
        <w:rPr>
          <w:b/>
          <w:bCs/>
        </w:rPr>
        <w:t>stretched fiscal positions</w:t>
      </w:r>
      <w:r w:rsidRPr="00AD2F89">
        <w:t xml:space="preserve"> that may keep long-bond yields elevated.</w:t>
      </w:r>
    </w:p>
    <w:p w14:paraId="478B43BD" w14:textId="77777777" w:rsidR="004E4624" w:rsidRPr="00AD2F89" w:rsidRDefault="004E4624" w:rsidP="004E4624">
      <w:r w:rsidRPr="00AD2F89">
        <w:rPr>
          <w:b/>
          <w:bCs/>
        </w:rPr>
        <w:t>The AI Deployment Phase</w:t>
      </w:r>
      <w:r w:rsidRPr="00AD2F89">
        <w:t xml:space="preserve"> Across DM, 2026 will be the year where the focus shifts from AI infrastructure buildout to </w:t>
      </w:r>
      <w:r w:rsidRPr="00AD2F89">
        <w:rPr>
          <w:b/>
          <w:bCs/>
        </w:rPr>
        <w:t>monetization and productivity gains</w:t>
      </w:r>
      <w:r w:rsidRPr="00AD2F89">
        <w:t>. While the US leads the "hardware" phase, Europe and Japan are becoming increasingly integral to the supply chain through industrial software and semiconductor equipment.</w:t>
      </w:r>
    </w:p>
    <w:p w14:paraId="44B2854C" w14:textId="77777777" w:rsidR="004E4624" w:rsidRPr="00AD2F89" w:rsidRDefault="00000000" w:rsidP="004E4624">
      <w:bookmarkStart w:id="0" w:name="_Hlk218511633"/>
      <w:r>
        <w:pict w14:anchorId="2323902F">
          <v:rect id="_x0000_i1032" style="width:0;height:1.5pt" o:hralign="center" o:hrstd="t" o:hr="t" fillcolor="#a0a0a0" stroked="f"/>
        </w:pict>
      </w:r>
    </w:p>
    <w:bookmarkEnd w:id="0"/>
    <w:p w14:paraId="0FB09412" w14:textId="77777777" w:rsidR="004E4624" w:rsidRPr="00AD2F89" w:rsidRDefault="004E4624" w:rsidP="004E4624">
      <w:pPr>
        <w:rPr>
          <w:b/>
          <w:bCs/>
        </w:rPr>
      </w:pPr>
      <w:r w:rsidRPr="00AD2F89">
        <w:rPr>
          <w:b/>
          <w:bCs/>
        </w:rPr>
        <w:t xml:space="preserve">Emerging Markets: </w:t>
      </w:r>
      <w:proofErr w:type="gramStart"/>
      <w:r w:rsidRPr="00AD2F89">
        <w:rPr>
          <w:b/>
          <w:bCs/>
        </w:rPr>
        <w:t>Engines of Transformation</w:t>
      </w:r>
      <w:proofErr w:type="gramEnd"/>
    </w:p>
    <w:p w14:paraId="042D39C1" w14:textId="77777777" w:rsidR="004E4624" w:rsidRPr="00AD2F89" w:rsidRDefault="004E4624" w:rsidP="004E4624">
      <w:r w:rsidRPr="00AD2F89">
        <w:t xml:space="preserve">Emerging Markets (EM) are set to contribute nearly </w:t>
      </w:r>
      <w:r w:rsidRPr="00AD2F89">
        <w:rPr>
          <w:b/>
          <w:bCs/>
        </w:rPr>
        <w:t>65% of global growth by 2035</w:t>
      </w:r>
      <w:r w:rsidRPr="00AD2F89">
        <w:t xml:space="preserve">, rapidly evolving from a hardware powerhouse into a software innovator. We are </w:t>
      </w:r>
      <w:r w:rsidRPr="00AD2F89">
        <w:rPr>
          <w:b/>
          <w:bCs/>
        </w:rPr>
        <w:t>overweight EM vs. DM</w:t>
      </w:r>
      <w:r w:rsidRPr="00AD2F89">
        <w:t xml:space="preserve"> for 2026, as valuations remain attractively discounted and local interest rate cycles offer a tailwind.</w:t>
      </w:r>
    </w:p>
    <w:p w14:paraId="560D51F7" w14:textId="77777777" w:rsidR="004E4624" w:rsidRPr="00AD2F89" w:rsidRDefault="004E4624" w:rsidP="004E4624">
      <w:pPr>
        <w:numPr>
          <w:ilvl w:val="0"/>
          <w:numId w:val="12"/>
        </w:numPr>
        <w:spacing w:after="160" w:line="278" w:lineRule="auto"/>
      </w:pPr>
      <w:r w:rsidRPr="00AD2F89">
        <w:rPr>
          <w:b/>
          <w:bCs/>
        </w:rPr>
        <w:t>Earnings:</w:t>
      </w:r>
      <w:r w:rsidRPr="00AD2F89">
        <w:t xml:space="preserve"> EM is expected to enjoy the </w:t>
      </w:r>
      <w:r w:rsidRPr="00AD2F89">
        <w:rPr>
          <w:b/>
          <w:bCs/>
        </w:rPr>
        <w:t>strongest global earnings growth</w:t>
      </w:r>
      <w:r w:rsidRPr="00AD2F89">
        <w:t xml:space="preserve">, rising approximately </w:t>
      </w:r>
      <w:r w:rsidRPr="00AD2F89">
        <w:rPr>
          <w:b/>
          <w:bCs/>
        </w:rPr>
        <w:t>17%</w:t>
      </w:r>
      <w:r w:rsidRPr="00AD2F89">
        <w:t>.</w:t>
      </w:r>
    </w:p>
    <w:p w14:paraId="580E5B0D" w14:textId="77777777" w:rsidR="004E4624" w:rsidRPr="00AD2F89" w:rsidRDefault="004E4624" w:rsidP="004E4624">
      <w:pPr>
        <w:numPr>
          <w:ilvl w:val="0"/>
          <w:numId w:val="12"/>
        </w:numPr>
        <w:spacing w:after="160" w:line="278" w:lineRule="auto"/>
      </w:pPr>
      <w:r w:rsidRPr="00AD2F89">
        <w:rPr>
          <w:b/>
          <w:bCs/>
        </w:rPr>
        <w:t>Regional Outlook:</w:t>
      </w:r>
      <w:r w:rsidRPr="00AD2F89">
        <w:t xml:space="preserve"> We see idiosyncratic opportunities in </w:t>
      </w:r>
      <w:r w:rsidRPr="00AD2F89">
        <w:rPr>
          <w:b/>
          <w:bCs/>
        </w:rPr>
        <w:t>India</w:t>
      </w:r>
      <w:r w:rsidRPr="00AD2F89">
        <w:t xml:space="preserve"> (regulatory easing), </w:t>
      </w:r>
      <w:r w:rsidRPr="00AD2F89">
        <w:rPr>
          <w:b/>
          <w:bCs/>
        </w:rPr>
        <w:t>South Korea</w:t>
      </w:r>
      <w:r w:rsidRPr="00AD2F89">
        <w:t xml:space="preserve"> (governance reforms and AI demand), and </w:t>
      </w:r>
      <w:r w:rsidRPr="00AD2F89">
        <w:rPr>
          <w:b/>
          <w:bCs/>
        </w:rPr>
        <w:t>Brazil</w:t>
      </w:r>
      <w:r w:rsidRPr="00AD2F89">
        <w:t xml:space="preserve"> (monetary easing).</w:t>
      </w:r>
    </w:p>
    <w:p w14:paraId="39C7F843" w14:textId="77777777" w:rsidR="004E4624" w:rsidRPr="00AD2F89" w:rsidRDefault="004E4624" w:rsidP="004E4624">
      <w:pPr>
        <w:numPr>
          <w:ilvl w:val="0"/>
          <w:numId w:val="12"/>
        </w:numPr>
        <w:spacing w:after="160" w:line="278" w:lineRule="auto"/>
      </w:pPr>
      <w:r w:rsidRPr="00AD2F89">
        <w:rPr>
          <w:b/>
          <w:bCs/>
        </w:rPr>
        <w:t>China:</w:t>
      </w:r>
      <w:r w:rsidRPr="00AD2F89">
        <w:t xml:space="preserve"> Signs of </w:t>
      </w:r>
      <w:r w:rsidRPr="00AD2F89">
        <w:rPr>
          <w:b/>
          <w:bCs/>
        </w:rPr>
        <w:t>stabilization</w:t>
      </w:r>
      <w:r w:rsidRPr="00AD2F89">
        <w:t xml:space="preserve"> are visible, though real GDP growth is expected to slow to the </w:t>
      </w:r>
      <w:r w:rsidRPr="00AD2F89">
        <w:rPr>
          <w:b/>
          <w:bCs/>
        </w:rPr>
        <w:t>4.0%–4.4% range</w:t>
      </w:r>
      <w:r w:rsidRPr="00AD2F89">
        <w:t>. China continues to dominate the global EV and humanoid robotics supply chains, though it faces increasing competition and trade barriers from both developed and other emerging economies.</w:t>
      </w:r>
    </w:p>
    <w:p w14:paraId="478BE374" w14:textId="77777777" w:rsidR="004E4624" w:rsidRPr="00AD2F89" w:rsidRDefault="004E4624" w:rsidP="004E4624">
      <w:pPr>
        <w:numPr>
          <w:ilvl w:val="0"/>
          <w:numId w:val="12"/>
        </w:numPr>
        <w:spacing w:after="160" w:line="278" w:lineRule="auto"/>
      </w:pPr>
      <w:r w:rsidRPr="00AD2F89">
        <w:rPr>
          <w:b/>
          <w:bCs/>
        </w:rPr>
        <w:t>Currencies and Debt:</w:t>
      </w:r>
      <w:r w:rsidRPr="00AD2F89">
        <w:t xml:space="preserve"> EM local currency debt remains compelling due to </w:t>
      </w:r>
      <w:r w:rsidRPr="00AD2F89">
        <w:rPr>
          <w:b/>
          <w:bCs/>
        </w:rPr>
        <w:t>strong real yields</w:t>
      </w:r>
      <w:r w:rsidRPr="00AD2F89">
        <w:t xml:space="preserve"> and a structurally bearish outlook for the US dollar.</w:t>
      </w:r>
    </w:p>
    <w:p w14:paraId="5CA1AD0F" w14:textId="77777777" w:rsidR="004E4624" w:rsidRPr="00AD2F89" w:rsidRDefault="00000000" w:rsidP="004E4624">
      <w:r>
        <w:pict w14:anchorId="265F12D3">
          <v:rect id="_x0000_i1033" style="width:0;height:1.5pt" o:hralign="center" o:hrstd="t" o:hr="t" fillcolor="#a0a0a0" stroked="f"/>
        </w:pict>
      </w:r>
    </w:p>
    <w:p w14:paraId="41790313" w14:textId="77777777" w:rsidR="004E4624" w:rsidRPr="00AD2F89" w:rsidRDefault="004E4624" w:rsidP="004E4624">
      <w:pPr>
        <w:rPr>
          <w:b/>
          <w:bCs/>
        </w:rPr>
      </w:pPr>
      <w:r w:rsidRPr="00AD2F89">
        <w:rPr>
          <w:b/>
          <w:bCs/>
        </w:rPr>
        <w:t>Closing Perspectives: AI and Global Risks</w:t>
      </w:r>
    </w:p>
    <w:p w14:paraId="5A77B596" w14:textId="77777777" w:rsidR="004E4624" w:rsidRPr="00AD2F89" w:rsidRDefault="004E4624" w:rsidP="004E4624">
      <w:r w:rsidRPr="00AD2F89">
        <w:rPr>
          <w:b/>
          <w:bCs/>
        </w:rPr>
        <w:t>The AI Supercycle</w:t>
      </w:r>
      <w:r w:rsidRPr="00AD2F89">
        <w:t xml:space="preserve"> The AI buildout continues at a staggering pace, with hundreds of billions in investment. While comparisons to the late-1990s tech bubble exist, we believe we are </w:t>
      </w:r>
      <w:r w:rsidRPr="00AD2F89">
        <w:rPr>
          <w:b/>
          <w:bCs/>
        </w:rPr>
        <w:t>closer to 1998 than 2000</w:t>
      </w:r>
      <w:r w:rsidRPr="00AD2F89">
        <w:t xml:space="preserve">; today’s AI leaders possess solid earnings and massive cash flows that can support their capital spending. The "winner-take-all" dynamic persists, but </w:t>
      </w:r>
      <w:r w:rsidRPr="00AD2F89">
        <w:rPr>
          <w:b/>
          <w:bCs/>
        </w:rPr>
        <w:t>monetization</w:t>
      </w:r>
      <w:r w:rsidRPr="00AD2F89">
        <w:t xml:space="preserve"> will be the key metric for 2026.</w:t>
      </w:r>
    </w:p>
    <w:p w14:paraId="3D7E127C" w14:textId="77777777" w:rsidR="004E4624" w:rsidRPr="00AD2F89" w:rsidRDefault="004E4624" w:rsidP="004E4624">
      <w:r w:rsidRPr="00AD2F89">
        <w:rPr>
          <w:b/>
          <w:bCs/>
        </w:rPr>
        <w:t>Fiscal Sustainability</w:t>
      </w:r>
      <w:r w:rsidRPr="00AD2F89">
        <w:t xml:space="preserve"> A critical long-term risk is the </w:t>
      </w:r>
      <w:r w:rsidRPr="00AD2F89">
        <w:rPr>
          <w:b/>
          <w:bCs/>
        </w:rPr>
        <w:t>mounting government debt</w:t>
      </w:r>
      <w:r w:rsidRPr="00AD2F89">
        <w:t xml:space="preserve"> across the US, Europe, and Japan. US federal debt is projected to exceed </w:t>
      </w:r>
      <w:r w:rsidRPr="00AD2F89">
        <w:rPr>
          <w:b/>
          <w:bCs/>
        </w:rPr>
        <w:t>140% of GDP by 2030</w:t>
      </w:r>
      <w:r w:rsidRPr="00AD2F89">
        <w:t>, a trend that may eventually drive higher term premiums and macro volatility.</w:t>
      </w:r>
    </w:p>
    <w:p w14:paraId="1B8A30D0" w14:textId="1F7F4B85" w:rsidR="00930019" w:rsidRPr="00AD2F89" w:rsidRDefault="004E4624" w:rsidP="004E4624">
      <w:r w:rsidRPr="00AD2F89">
        <w:t xml:space="preserve">In summary, the 2026 landscape requires </w:t>
      </w:r>
      <w:r w:rsidRPr="00AD2F89">
        <w:rPr>
          <w:b/>
          <w:bCs/>
        </w:rPr>
        <w:t>active management and selectivity</w:t>
      </w:r>
      <w:r w:rsidRPr="00AD2F89">
        <w:t xml:space="preserve">. While the global economy shows resilience, the "binary" return profile of recent years is fading, making </w:t>
      </w:r>
      <w:r w:rsidRPr="00AD2F89">
        <w:rPr>
          <w:b/>
          <w:bCs/>
        </w:rPr>
        <w:t>geographic and sector diversification</w:t>
      </w:r>
      <w:r w:rsidRPr="00AD2F89">
        <w:t xml:space="preserve"> the most prudent path forward.</w:t>
      </w:r>
    </w:p>
    <w:p w14:paraId="688A55C4" w14:textId="77777777" w:rsidR="004E4624" w:rsidRPr="00AD2F89" w:rsidRDefault="00000000" w:rsidP="004E4624">
      <w:r>
        <w:pict w14:anchorId="2861E186">
          <v:rect id="_x0000_i1034" style="width:0;height:1.5pt" o:hralign="center" o:hrstd="t" o:hr="t" fillcolor="#a0a0a0" stroked="f"/>
        </w:pict>
      </w:r>
    </w:p>
    <w:p w14:paraId="6018F412" w14:textId="649B0908" w:rsidR="004E4624" w:rsidRPr="00442757" w:rsidRDefault="00930019" w:rsidP="004E4624">
      <w:pPr>
        <w:rPr>
          <w:i/>
          <w:iCs/>
          <w:sz w:val="18"/>
          <w:szCs w:val="18"/>
        </w:rPr>
      </w:pPr>
      <w:r w:rsidRPr="00442757">
        <w:rPr>
          <w:i/>
          <w:iCs/>
          <w:sz w:val="18"/>
          <w:szCs w:val="18"/>
        </w:rPr>
        <w:lastRenderedPageBreak/>
        <w:t>Sources: FactSet, Bloomberg.com, J.P. Morgan Markets, Capital Group, Goldman Sachs Marquee. All accessed from 12.12.2025 to 1.5.2026. Information is believed to be reliable</w:t>
      </w:r>
    </w:p>
    <w:p w14:paraId="38583241" w14:textId="77777777" w:rsidR="004E4624" w:rsidRDefault="004E4624" w:rsidP="004E4624"/>
    <w:p w14:paraId="10F48E81" w14:textId="77777777" w:rsidR="00B1051C" w:rsidRPr="00355AEC" w:rsidRDefault="00B1051C" w:rsidP="004E4624">
      <w:pPr>
        <w:rPr>
          <w:sz w:val="20"/>
        </w:rPr>
      </w:pPr>
    </w:p>
    <w:sectPr w:rsidR="00B1051C" w:rsidRPr="00355AEC" w:rsidSect="00983C7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3B92" w14:textId="77777777" w:rsidR="00993B7F" w:rsidRDefault="00993B7F" w:rsidP="00B1051C">
      <w:pPr>
        <w:spacing w:line="240" w:lineRule="auto"/>
      </w:pPr>
      <w:r>
        <w:separator/>
      </w:r>
    </w:p>
  </w:endnote>
  <w:endnote w:type="continuationSeparator" w:id="0">
    <w:p w14:paraId="7517526B" w14:textId="77777777" w:rsidR="00993B7F" w:rsidRDefault="00993B7F" w:rsidP="00B10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-Light">
    <w:altName w:val="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rsEavesPetiteCap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bel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kerville-Italic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588E" w14:textId="77777777" w:rsidR="00355AEC" w:rsidRPr="00355AEC" w:rsidRDefault="00355AEC" w:rsidP="00A158E6">
    <w:pPr>
      <w:autoSpaceDE w:val="0"/>
      <w:autoSpaceDN w:val="0"/>
      <w:adjustRightInd w:val="0"/>
      <w:spacing w:line="240" w:lineRule="auto"/>
      <w:jc w:val="center"/>
      <w:rPr>
        <w:rFonts w:ascii="Baskerville Old Face" w:hAnsi="Baskerville Old Face" w:cs="MrsEavesPetiteCaps"/>
        <w:color w:val="000030"/>
        <w:sz w:val="16"/>
        <w:szCs w:val="18"/>
      </w:rPr>
    </w:pPr>
    <w:r w:rsidRPr="00355AEC">
      <w:rPr>
        <w:rFonts w:ascii="Baskerville Old Face" w:hAnsi="Baskerville Old Face" w:cs="MrsEavesPetiteCaps"/>
        <w:color w:val="000030"/>
        <w:sz w:val="16"/>
        <w:szCs w:val="18"/>
      </w:rPr>
      <w:t xml:space="preserve">639 LOYOLA AVENUE, SUITE 2100 </w:t>
    </w:r>
    <w:r w:rsidRPr="00355AEC">
      <w:rPr>
        <w:rFonts w:ascii="Baskerville Old Face" w:hAnsi="Baskerville Old Face" w:cs="Nobel-Light"/>
        <w:color w:val="000030"/>
        <w:sz w:val="16"/>
        <w:szCs w:val="18"/>
      </w:rPr>
      <w:t xml:space="preserve">| </w:t>
    </w:r>
    <w:r w:rsidRPr="00355AEC">
      <w:rPr>
        <w:rFonts w:ascii="Baskerville Old Face" w:hAnsi="Baskerville Old Face" w:cs="MrsEavesPetiteCaps"/>
        <w:color w:val="000030"/>
        <w:sz w:val="16"/>
        <w:szCs w:val="18"/>
      </w:rPr>
      <w:t xml:space="preserve">NEW ORLEANS, LA 70113 </w:t>
    </w:r>
    <w:r w:rsidRPr="00355AEC">
      <w:rPr>
        <w:rFonts w:ascii="Baskerville Old Face" w:hAnsi="Baskerville Old Face" w:cs="Nobel-Light"/>
        <w:color w:val="000030"/>
        <w:sz w:val="16"/>
        <w:szCs w:val="18"/>
      </w:rPr>
      <w:t xml:space="preserve">| </w:t>
    </w:r>
    <w:r w:rsidRPr="00355AEC">
      <w:rPr>
        <w:rFonts w:ascii="Baskerville Old Face" w:hAnsi="Baskerville Old Face" w:cs="MrsEavesPetiteCaps"/>
        <w:color w:val="000030"/>
        <w:sz w:val="16"/>
        <w:szCs w:val="18"/>
      </w:rPr>
      <w:t xml:space="preserve">504.325.5393 </w:t>
    </w:r>
    <w:r w:rsidRPr="00355AEC">
      <w:rPr>
        <w:rFonts w:ascii="Baskerville Old Face" w:hAnsi="Baskerville Old Face" w:cs="Nobel-Light"/>
        <w:color w:val="000030"/>
        <w:sz w:val="16"/>
        <w:szCs w:val="18"/>
      </w:rPr>
      <w:t xml:space="preserve">| </w:t>
    </w:r>
    <w:hyperlink r:id="rId1" w:history="1">
      <w:r w:rsidRPr="00355AEC">
        <w:rPr>
          <w:rStyle w:val="Hyperlink"/>
          <w:rFonts w:ascii="Baskerville Old Face" w:hAnsi="Baskerville Old Face" w:cs="MrsEavesPetiteCaps"/>
          <w:sz w:val="16"/>
          <w:szCs w:val="18"/>
        </w:rPr>
        <w:t>WWW.GULFPOINTADVISORS.COM</w:t>
      </w:r>
    </w:hyperlink>
  </w:p>
  <w:p w14:paraId="3B7E9829" w14:textId="77777777" w:rsidR="00930019" w:rsidRPr="00930019" w:rsidRDefault="00930019" w:rsidP="00930019">
    <w:pPr>
      <w:pStyle w:val="Footer"/>
      <w:jc w:val="center"/>
      <w:rPr>
        <w:rFonts w:ascii="Baskerville-Italic" w:hAnsi="Baskerville-Italic" w:cs="Baskerville-Italic"/>
        <w:i/>
        <w:iCs/>
        <w:color w:val="000030"/>
        <w:sz w:val="14"/>
        <w:szCs w:val="14"/>
      </w:rPr>
    </w:pPr>
    <w:r w:rsidRPr="00930019">
      <w:rPr>
        <w:rFonts w:ascii="Baskerville-Italic" w:hAnsi="Baskerville-Italic" w:cs="Baskerville-Italic"/>
        <w:i/>
        <w:iCs/>
        <w:color w:val="000030"/>
        <w:sz w:val="14"/>
        <w:szCs w:val="14"/>
      </w:rPr>
      <w:t>Securities offered through LPL Financial. Member FINRA/SIPC. Advisory services are offered through NewEdge Advisors, LLC, a registered investment adviser. NewEdge Advisors, LLC, doing business as Gulf Point Advisors, are separate entities from LPL Financial.</w:t>
    </w:r>
  </w:p>
  <w:p w14:paraId="374DA9FE" w14:textId="77777777" w:rsidR="00355AEC" w:rsidRDefault="00355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E51B" w14:textId="77777777" w:rsidR="00993B7F" w:rsidRDefault="00993B7F" w:rsidP="00B1051C">
      <w:pPr>
        <w:spacing w:line="240" w:lineRule="auto"/>
      </w:pPr>
      <w:r>
        <w:separator/>
      </w:r>
    </w:p>
  </w:footnote>
  <w:footnote w:type="continuationSeparator" w:id="0">
    <w:p w14:paraId="2F592F67" w14:textId="77777777" w:rsidR="00993B7F" w:rsidRDefault="00993B7F" w:rsidP="00B105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7D7"/>
    <w:multiLevelType w:val="hybridMultilevel"/>
    <w:tmpl w:val="07FCA7F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C52225"/>
    <w:multiLevelType w:val="multilevel"/>
    <w:tmpl w:val="235E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80C4F"/>
    <w:multiLevelType w:val="hybridMultilevel"/>
    <w:tmpl w:val="D97E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F3113"/>
    <w:multiLevelType w:val="multilevel"/>
    <w:tmpl w:val="9F6C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D6CB8"/>
    <w:multiLevelType w:val="hybridMultilevel"/>
    <w:tmpl w:val="0DC23D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EC86E25"/>
    <w:multiLevelType w:val="multilevel"/>
    <w:tmpl w:val="A98C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151AD"/>
    <w:multiLevelType w:val="multilevel"/>
    <w:tmpl w:val="5780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8746B"/>
    <w:multiLevelType w:val="multilevel"/>
    <w:tmpl w:val="0712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16FD8"/>
    <w:multiLevelType w:val="multilevel"/>
    <w:tmpl w:val="EA76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22ABA"/>
    <w:multiLevelType w:val="hybridMultilevel"/>
    <w:tmpl w:val="B722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B710A"/>
    <w:multiLevelType w:val="multilevel"/>
    <w:tmpl w:val="9D2C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500E3B"/>
    <w:multiLevelType w:val="hybridMultilevel"/>
    <w:tmpl w:val="F7B0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0C4"/>
    <w:multiLevelType w:val="multilevel"/>
    <w:tmpl w:val="5E74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F3613C"/>
    <w:multiLevelType w:val="hybridMultilevel"/>
    <w:tmpl w:val="0D6C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90031">
    <w:abstractNumId w:val="0"/>
  </w:num>
  <w:num w:numId="2" w16cid:durableId="689792432">
    <w:abstractNumId w:val="4"/>
  </w:num>
  <w:num w:numId="3" w16cid:durableId="34669070">
    <w:abstractNumId w:val="11"/>
  </w:num>
  <w:num w:numId="4" w16cid:durableId="1732264050">
    <w:abstractNumId w:val="2"/>
  </w:num>
  <w:num w:numId="5" w16cid:durableId="129904980">
    <w:abstractNumId w:val="13"/>
  </w:num>
  <w:num w:numId="6" w16cid:durableId="19625546">
    <w:abstractNumId w:val="9"/>
  </w:num>
  <w:num w:numId="7" w16cid:durableId="602228624">
    <w:abstractNumId w:val="1"/>
  </w:num>
  <w:num w:numId="8" w16cid:durableId="2083287546">
    <w:abstractNumId w:val="5"/>
  </w:num>
  <w:num w:numId="9" w16cid:durableId="276567686">
    <w:abstractNumId w:val="6"/>
  </w:num>
  <w:num w:numId="10" w16cid:durableId="1376661028">
    <w:abstractNumId w:val="7"/>
  </w:num>
  <w:num w:numId="11" w16cid:durableId="1161652594">
    <w:abstractNumId w:val="8"/>
  </w:num>
  <w:num w:numId="12" w16cid:durableId="1154027759">
    <w:abstractNumId w:val="3"/>
  </w:num>
  <w:num w:numId="13" w16cid:durableId="56754541">
    <w:abstractNumId w:val="12"/>
  </w:num>
  <w:num w:numId="14" w16cid:durableId="7880880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8D6214"/>
    <w:rsid w:val="00006F3E"/>
    <w:rsid w:val="00010156"/>
    <w:rsid w:val="00012239"/>
    <w:rsid w:val="00016668"/>
    <w:rsid w:val="000167C8"/>
    <w:rsid w:val="00030D14"/>
    <w:rsid w:val="0003579D"/>
    <w:rsid w:val="00046BAF"/>
    <w:rsid w:val="000530D9"/>
    <w:rsid w:val="00056329"/>
    <w:rsid w:val="000825D9"/>
    <w:rsid w:val="00097833"/>
    <w:rsid w:val="000A08E4"/>
    <w:rsid w:val="000A1863"/>
    <w:rsid w:val="000B4E32"/>
    <w:rsid w:val="000B7D11"/>
    <w:rsid w:val="000C11EF"/>
    <w:rsid w:val="000C2F22"/>
    <w:rsid w:val="000C3CF1"/>
    <w:rsid w:val="000D2D7D"/>
    <w:rsid w:val="000E677B"/>
    <w:rsid w:val="000E7587"/>
    <w:rsid w:val="000F1915"/>
    <w:rsid w:val="000F2302"/>
    <w:rsid w:val="000F5DE6"/>
    <w:rsid w:val="000F655F"/>
    <w:rsid w:val="001002ED"/>
    <w:rsid w:val="0010156E"/>
    <w:rsid w:val="001043BA"/>
    <w:rsid w:val="00105B6A"/>
    <w:rsid w:val="00105DB4"/>
    <w:rsid w:val="00114F94"/>
    <w:rsid w:val="00116F2D"/>
    <w:rsid w:val="001174FB"/>
    <w:rsid w:val="00122880"/>
    <w:rsid w:val="00124E6B"/>
    <w:rsid w:val="00127AC0"/>
    <w:rsid w:val="00134137"/>
    <w:rsid w:val="001511B7"/>
    <w:rsid w:val="00153EAC"/>
    <w:rsid w:val="00154033"/>
    <w:rsid w:val="0015513D"/>
    <w:rsid w:val="00161A18"/>
    <w:rsid w:val="00170A9A"/>
    <w:rsid w:val="00170DF4"/>
    <w:rsid w:val="00171732"/>
    <w:rsid w:val="001736FD"/>
    <w:rsid w:val="00174686"/>
    <w:rsid w:val="00174850"/>
    <w:rsid w:val="00180C4D"/>
    <w:rsid w:val="00181620"/>
    <w:rsid w:val="001920C3"/>
    <w:rsid w:val="00196BC5"/>
    <w:rsid w:val="001A1135"/>
    <w:rsid w:val="001A1CFC"/>
    <w:rsid w:val="001B48C1"/>
    <w:rsid w:val="001C5F0C"/>
    <w:rsid w:val="001C6737"/>
    <w:rsid w:val="001C6FD3"/>
    <w:rsid w:val="001D25A3"/>
    <w:rsid w:val="001D2BB8"/>
    <w:rsid w:val="001E1992"/>
    <w:rsid w:val="001E294B"/>
    <w:rsid w:val="001E342F"/>
    <w:rsid w:val="00200E82"/>
    <w:rsid w:val="00204AFF"/>
    <w:rsid w:val="00206C83"/>
    <w:rsid w:val="002116C4"/>
    <w:rsid w:val="00221C3E"/>
    <w:rsid w:val="00222FAD"/>
    <w:rsid w:val="0023241E"/>
    <w:rsid w:val="002324A3"/>
    <w:rsid w:val="002400F7"/>
    <w:rsid w:val="002416F8"/>
    <w:rsid w:val="002553A1"/>
    <w:rsid w:val="0027010A"/>
    <w:rsid w:val="0027103E"/>
    <w:rsid w:val="002714DF"/>
    <w:rsid w:val="00274EF8"/>
    <w:rsid w:val="00276672"/>
    <w:rsid w:val="00286759"/>
    <w:rsid w:val="00287C56"/>
    <w:rsid w:val="00290308"/>
    <w:rsid w:val="00297772"/>
    <w:rsid w:val="002B4046"/>
    <w:rsid w:val="002B4AF6"/>
    <w:rsid w:val="002B548C"/>
    <w:rsid w:val="002D1AC6"/>
    <w:rsid w:val="002D4E6E"/>
    <w:rsid w:val="002D5EEE"/>
    <w:rsid w:val="002E0B1B"/>
    <w:rsid w:val="002E3FFD"/>
    <w:rsid w:val="002E63BF"/>
    <w:rsid w:val="002F5809"/>
    <w:rsid w:val="00300239"/>
    <w:rsid w:val="003024CB"/>
    <w:rsid w:val="00312BC6"/>
    <w:rsid w:val="0032630C"/>
    <w:rsid w:val="003313AE"/>
    <w:rsid w:val="00331789"/>
    <w:rsid w:val="00332B13"/>
    <w:rsid w:val="003370E0"/>
    <w:rsid w:val="003376F1"/>
    <w:rsid w:val="00340EF8"/>
    <w:rsid w:val="00343F15"/>
    <w:rsid w:val="00344D89"/>
    <w:rsid w:val="003501B0"/>
    <w:rsid w:val="00355AEC"/>
    <w:rsid w:val="0036449C"/>
    <w:rsid w:val="00372979"/>
    <w:rsid w:val="00381133"/>
    <w:rsid w:val="00384B34"/>
    <w:rsid w:val="00392317"/>
    <w:rsid w:val="00395522"/>
    <w:rsid w:val="003A3AB1"/>
    <w:rsid w:val="003A53D7"/>
    <w:rsid w:val="003A7D5B"/>
    <w:rsid w:val="003B0723"/>
    <w:rsid w:val="003B14C2"/>
    <w:rsid w:val="003C3931"/>
    <w:rsid w:val="003C5894"/>
    <w:rsid w:val="003E0837"/>
    <w:rsid w:val="003E289D"/>
    <w:rsid w:val="003E5FB2"/>
    <w:rsid w:val="004022B7"/>
    <w:rsid w:val="00402A55"/>
    <w:rsid w:val="00406421"/>
    <w:rsid w:val="00415897"/>
    <w:rsid w:val="004209A8"/>
    <w:rsid w:val="004256B5"/>
    <w:rsid w:val="004414B7"/>
    <w:rsid w:val="00441E70"/>
    <w:rsid w:val="00442757"/>
    <w:rsid w:val="00445FD6"/>
    <w:rsid w:val="004507B3"/>
    <w:rsid w:val="004521B7"/>
    <w:rsid w:val="00452BB3"/>
    <w:rsid w:val="00453304"/>
    <w:rsid w:val="004535BC"/>
    <w:rsid w:val="004565FE"/>
    <w:rsid w:val="0046113B"/>
    <w:rsid w:val="004759F6"/>
    <w:rsid w:val="0048127F"/>
    <w:rsid w:val="0048563B"/>
    <w:rsid w:val="0049717F"/>
    <w:rsid w:val="004A08B2"/>
    <w:rsid w:val="004A61D8"/>
    <w:rsid w:val="004A648E"/>
    <w:rsid w:val="004B4A60"/>
    <w:rsid w:val="004B520F"/>
    <w:rsid w:val="004B673E"/>
    <w:rsid w:val="004C0D9D"/>
    <w:rsid w:val="004D3505"/>
    <w:rsid w:val="004E4624"/>
    <w:rsid w:val="005045B6"/>
    <w:rsid w:val="005064CE"/>
    <w:rsid w:val="005109E6"/>
    <w:rsid w:val="00512CDA"/>
    <w:rsid w:val="00513412"/>
    <w:rsid w:val="00513BBF"/>
    <w:rsid w:val="00514724"/>
    <w:rsid w:val="00520FF8"/>
    <w:rsid w:val="005269C8"/>
    <w:rsid w:val="0053430C"/>
    <w:rsid w:val="00542870"/>
    <w:rsid w:val="005443F4"/>
    <w:rsid w:val="00546E08"/>
    <w:rsid w:val="00552790"/>
    <w:rsid w:val="00553CF2"/>
    <w:rsid w:val="00554D6D"/>
    <w:rsid w:val="00555546"/>
    <w:rsid w:val="00555AC5"/>
    <w:rsid w:val="0055685B"/>
    <w:rsid w:val="00557DAD"/>
    <w:rsid w:val="00560EEB"/>
    <w:rsid w:val="00563ED5"/>
    <w:rsid w:val="005761FA"/>
    <w:rsid w:val="00584F01"/>
    <w:rsid w:val="00587962"/>
    <w:rsid w:val="005911C8"/>
    <w:rsid w:val="005964FA"/>
    <w:rsid w:val="005A1DC4"/>
    <w:rsid w:val="005A5BA4"/>
    <w:rsid w:val="005B0DF6"/>
    <w:rsid w:val="005B43C4"/>
    <w:rsid w:val="005D2B26"/>
    <w:rsid w:val="005D79A1"/>
    <w:rsid w:val="005E26F4"/>
    <w:rsid w:val="005E4373"/>
    <w:rsid w:val="005E517D"/>
    <w:rsid w:val="005E6766"/>
    <w:rsid w:val="005F0DFA"/>
    <w:rsid w:val="00600C0F"/>
    <w:rsid w:val="00607EF9"/>
    <w:rsid w:val="00611195"/>
    <w:rsid w:val="00616FE9"/>
    <w:rsid w:val="00630B75"/>
    <w:rsid w:val="006324FD"/>
    <w:rsid w:val="00633320"/>
    <w:rsid w:val="00634C34"/>
    <w:rsid w:val="00636D59"/>
    <w:rsid w:val="00641F82"/>
    <w:rsid w:val="00643FAE"/>
    <w:rsid w:val="006539B8"/>
    <w:rsid w:val="0066413F"/>
    <w:rsid w:val="006649E3"/>
    <w:rsid w:val="00664F33"/>
    <w:rsid w:val="00667096"/>
    <w:rsid w:val="00676781"/>
    <w:rsid w:val="0068435E"/>
    <w:rsid w:val="006843F1"/>
    <w:rsid w:val="006A54AE"/>
    <w:rsid w:val="006A6AD4"/>
    <w:rsid w:val="006C1719"/>
    <w:rsid w:val="006C3642"/>
    <w:rsid w:val="006C5495"/>
    <w:rsid w:val="006D2CD4"/>
    <w:rsid w:val="006D4B5B"/>
    <w:rsid w:val="006D5654"/>
    <w:rsid w:val="006D6142"/>
    <w:rsid w:val="006E5167"/>
    <w:rsid w:val="006E5D3F"/>
    <w:rsid w:val="006F53C1"/>
    <w:rsid w:val="006F75D1"/>
    <w:rsid w:val="006F7AC9"/>
    <w:rsid w:val="006F7BD8"/>
    <w:rsid w:val="00703390"/>
    <w:rsid w:val="00704831"/>
    <w:rsid w:val="007054E7"/>
    <w:rsid w:val="00706D91"/>
    <w:rsid w:val="00712E37"/>
    <w:rsid w:val="00713378"/>
    <w:rsid w:val="00715E58"/>
    <w:rsid w:val="00717B0C"/>
    <w:rsid w:val="00720809"/>
    <w:rsid w:val="007225A1"/>
    <w:rsid w:val="00724E17"/>
    <w:rsid w:val="00727303"/>
    <w:rsid w:val="00737799"/>
    <w:rsid w:val="007405F8"/>
    <w:rsid w:val="007449FF"/>
    <w:rsid w:val="0075094A"/>
    <w:rsid w:val="007534CE"/>
    <w:rsid w:val="00764242"/>
    <w:rsid w:val="00770602"/>
    <w:rsid w:val="00772B4E"/>
    <w:rsid w:val="00774FAA"/>
    <w:rsid w:val="00781362"/>
    <w:rsid w:val="00782A81"/>
    <w:rsid w:val="0078440E"/>
    <w:rsid w:val="007921DE"/>
    <w:rsid w:val="00794B01"/>
    <w:rsid w:val="00796837"/>
    <w:rsid w:val="0079693C"/>
    <w:rsid w:val="007A27F1"/>
    <w:rsid w:val="007B1812"/>
    <w:rsid w:val="007B6427"/>
    <w:rsid w:val="007C1AE3"/>
    <w:rsid w:val="007D084E"/>
    <w:rsid w:val="007D2ACC"/>
    <w:rsid w:val="007D2F91"/>
    <w:rsid w:val="007D3E87"/>
    <w:rsid w:val="007E1182"/>
    <w:rsid w:val="007F41E4"/>
    <w:rsid w:val="00806E1D"/>
    <w:rsid w:val="00820CA2"/>
    <w:rsid w:val="00822538"/>
    <w:rsid w:val="0083416F"/>
    <w:rsid w:val="00842766"/>
    <w:rsid w:val="008427E1"/>
    <w:rsid w:val="00843890"/>
    <w:rsid w:val="00843C3E"/>
    <w:rsid w:val="00847641"/>
    <w:rsid w:val="008565D8"/>
    <w:rsid w:val="008649FA"/>
    <w:rsid w:val="00865468"/>
    <w:rsid w:val="00865818"/>
    <w:rsid w:val="008708FA"/>
    <w:rsid w:val="00875036"/>
    <w:rsid w:val="00877185"/>
    <w:rsid w:val="00892B00"/>
    <w:rsid w:val="00895B96"/>
    <w:rsid w:val="008B00F3"/>
    <w:rsid w:val="008C04F3"/>
    <w:rsid w:val="008C18D0"/>
    <w:rsid w:val="008D23DA"/>
    <w:rsid w:val="008D398C"/>
    <w:rsid w:val="008D3E7A"/>
    <w:rsid w:val="008D6214"/>
    <w:rsid w:val="008D76E8"/>
    <w:rsid w:val="008E14CA"/>
    <w:rsid w:val="008F0288"/>
    <w:rsid w:val="008F0969"/>
    <w:rsid w:val="00901AED"/>
    <w:rsid w:val="00902C54"/>
    <w:rsid w:val="009042D7"/>
    <w:rsid w:val="00920B66"/>
    <w:rsid w:val="00920EA1"/>
    <w:rsid w:val="009225F8"/>
    <w:rsid w:val="00930019"/>
    <w:rsid w:val="00932BCC"/>
    <w:rsid w:val="0093473F"/>
    <w:rsid w:val="0094099B"/>
    <w:rsid w:val="00943302"/>
    <w:rsid w:val="00945BAF"/>
    <w:rsid w:val="00946198"/>
    <w:rsid w:val="0095190A"/>
    <w:rsid w:val="00952FA5"/>
    <w:rsid w:val="00956166"/>
    <w:rsid w:val="00961A34"/>
    <w:rsid w:val="009733FB"/>
    <w:rsid w:val="009750CB"/>
    <w:rsid w:val="00977AEA"/>
    <w:rsid w:val="00983C73"/>
    <w:rsid w:val="00984235"/>
    <w:rsid w:val="0098599B"/>
    <w:rsid w:val="0099045F"/>
    <w:rsid w:val="00993711"/>
    <w:rsid w:val="00993B7F"/>
    <w:rsid w:val="00995A8B"/>
    <w:rsid w:val="009A0429"/>
    <w:rsid w:val="009A17A9"/>
    <w:rsid w:val="009A5E8B"/>
    <w:rsid w:val="009B5676"/>
    <w:rsid w:val="009C0377"/>
    <w:rsid w:val="009C5AAE"/>
    <w:rsid w:val="009D4649"/>
    <w:rsid w:val="009D50D3"/>
    <w:rsid w:val="009D7BD1"/>
    <w:rsid w:val="009D7EFA"/>
    <w:rsid w:val="009E100A"/>
    <w:rsid w:val="009E3267"/>
    <w:rsid w:val="009E5F67"/>
    <w:rsid w:val="009F0FA5"/>
    <w:rsid w:val="009F2EC4"/>
    <w:rsid w:val="009F32FD"/>
    <w:rsid w:val="009F716C"/>
    <w:rsid w:val="009F7892"/>
    <w:rsid w:val="00A14BAA"/>
    <w:rsid w:val="00A158E6"/>
    <w:rsid w:val="00A269C2"/>
    <w:rsid w:val="00A3157A"/>
    <w:rsid w:val="00A43C7E"/>
    <w:rsid w:val="00A50ADF"/>
    <w:rsid w:val="00A52AAD"/>
    <w:rsid w:val="00A55481"/>
    <w:rsid w:val="00A62FB8"/>
    <w:rsid w:val="00A6403D"/>
    <w:rsid w:val="00A70E4E"/>
    <w:rsid w:val="00AA181C"/>
    <w:rsid w:val="00AD3DF6"/>
    <w:rsid w:val="00AD4C3E"/>
    <w:rsid w:val="00AD7FEF"/>
    <w:rsid w:val="00AE03DD"/>
    <w:rsid w:val="00AE0B5F"/>
    <w:rsid w:val="00AF32FE"/>
    <w:rsid w:val="00AF772F"/>
    <w:rsid w:val="00B04804"/>
    <w:rsid w:val="00B07D8B"/>
    <w:rsid w:val="00B1051C"/>
    <w:rsid w:val="00B10D64"/>
    <w:rsid w:val="00B11B43"/>
    <w:rsid w:val="00B12658"/>
    <w:rsid w:val="00B12AA9"/>
    <w:rsid w:val="00B138B4"/>
    <w:rsid w:val="00B15D09"/>
    <w:rsid w:val="00B211D8"/>
    <w:rsid w:val="00B22497"/>
    <w:rsid w:val="00B25C97"/>
    <w:rsid w:val="00B33A8E"/>
    <w:rsid w:val="00B43490"/>
    <w:rsid w:val="00B50CE6"/>
    <w:rsid w:val="00B51358"/>
    <w:rsid w:val="00B5154B"/>
    <w:rsid w:val="00B52ABE"/>
    <w:rsid w:val="00B67F16"/>
    <w:rsid w:val="00B7220A"/>
    <w:rsid w:val="00B73472"/>
    <w:rsid w:val="00B75251"/>
    <w:rsid w:val="00B80D72"/>
    <w:rsid w:val="00B82554"/>
    <w:rsid w:val="00B83D12"/>
    <w:rsid w:val="00B84086"/>
    <w:rsid w:val="00B95EC0"/>
    <w:rsid w:val="00B978E1"/>
    <w:rsid w:val="00BA277D"/>
    <w:rsid w:val="00BA2BB3"/>
    <w:rsid w:val="00BA2FF1"/>
    <w:rsid w:val="00BA6973"/>
    <w:rsid w:val="00BA6E9C"/>
    <w:rsid w:val="00BC1AD7"/>
    <w:rsid w:val="00BC3A68"/>
    <w:rsid w:val="00BC6EFA"/>
    <w:rsid w:val="00BD04B1"/>
    <w:rsid w:val="00BD34C1"/>
    <w:rsid w:val="00BD5E03"/>
    <w:rsid w:val="00BD78DE"/>
    <w:rsid w:val="00BE583C"/>
    <w:rsid w:val="00BE6132"/>
    <w:rsid w:val="00BF2707"/>
    <w:rsid w:val="00BF2833"/>
    <w:rsid w:val="00C00550"/>
    <w:rsid w:val="00C028A7"/>
    <w:rsid w:val="00C03110"/>
    <w:rsid w:val="00C2239B"/>
    <w:rsid w:val="00C268AF"/>
    <w:rsid w:val="00C31A47"/>
    <w:rsid w:val="00C4403B"/>
    <w:rsid w:val="00C45EB3"/>
    <w:rsid w:val="00C470A7"/>
    <w:rsid w:val="00C5149D"/>
    <w:rsid w:val="00C54D26"/>
    <w:rsid w:val="00C74AB3"/>
    <w:rsid w:val="00C869BB"/>
    <w:rsid w:val="00C872FC"/>
    <w:rsid w:val="00C9367A"/>
    <w:rsid w:val="00C949F4"/>
    <w:rsid w:val="00CA2D55"/>
    <w:rsid w:val="00CA4DF1"/>
    <w:rsid w:val="00CB2336"/>
    <w:rsid w:val="00CC16DA"/>
    <w:rsid w:val="00CC76C6"/>
    <w:rsid w:val="00CF0FF3"/>
    <w:rsid w:val="00CF1932"/>
    <w:rsid w:val="00CF6490"/>
    <w:rsid w:val="00CF72A7"/>
    <w:rsid w:val="00D02482"/>
    <w:rsid w:val="00D03391"/>
    <w:rsid w:val="00D071B5"/>
    <w:rsid w:val="00D123A6"/>
    <w:rsid w:val="00D21D85"/>
    <w:rsid w:val="00D22051"/>
    <w:rsid w:val="00D23C4A"/>
    <w:rsid w:val="00D25949"/>
    <w:rsid w:val="00D25DDC"/>
    <w:rsid w:val="00D3429D"/>
    <w:rsid w:val="00D43438"/>
    <w:rsid w:val="00D44E63"/>
    <w:rsid w:val="00D44FFB"/>
    <w:rsid w:val="00D46761"/>
    <w:rsid w:val="00D47ED8"/>
    <w:rsid w:val="00D50AB7"/>
    <w:rsid w:val="00D51A07"/>
    <w:rsid w:val="00D52D22"/>
    <w:rsid w:val="00D55B5D"/>
    <w:rsid w:val="00D571E4"/>
    <w:rsid w:val="00D608BA"/>
    <w:rsid w:val="00D61B52"/>
    <w:rsid w:val="00D622F7"/>
    <w:rsid w:val="00D66502"/>
    <w:rsid w:val="00D66565"/>
    <w:rsid w:val="00D71C42"/>
    <w:rsid w:val="00D80ED3"/>
    <w:rsid w:val="00D83260"/>
    <w:rsid w:val="00D849DA"/>
    <w:rsid w:val="00D87C33"/>
    <w:rsid w:val="00D9387D"/>
    <w:rsid w:val="00D94E2E"/>
    <w:rsid w:val="00D95A55"/>
    <w:rsid w:val="00D96CF7"/>
    <w:rsid w:val="00DB2030"/>
    <w:rsid w:val="00DB3005"/>
    <w:rsid w:val="00DB5873"/>
    <w:rsid w:val="00DB79F0"/>
    <w:rsid w:val="00DC4FCE"/>
    <w:rsid w:val="00DC5149"/>
    <w:rsid w:val="00DD5E49"/>
    <w:rsid w:val="00DD68B8"/>
    <w:rsid w:val="00DE5E13"/>
    <w:rsid w:val="00DE6CAC"/>
    <w:rsid w:val="00DF381A"/>
    <w:rsid w:val="00DF4F0F"/>
    <w:rsid w:val="00DF68F9"/>
    <w:rsid w:val="00E021EF"/>
    <w:rsid w:val="00E060F5"/>
    <w:rsid w:val="00E06311"/>
    <w:rsid w:val="00E06825"/>
    <w:rsid w:val="00E1683C"/>
    <w:rsid w:val="00E176C9"/>
    <w:rsid w:val="00E23C07"/>
    <w:rsid w:val="00E26923"/>
    <w:rsid w:val="00E30596"/>
    <w:rsid w:val="00E3644B"/>
    <w:rsid w:val="00E45573"/>
    <w:rsid w:val="00E5534F"/>
    <w:rsid w:val="00E55CB2"/>
    <w:rsid w:val="00E57FAB"/>
    <w:rsid w:val="00E63CE6"/>
    <w:rsid w:val="00E66471"/>
    <w:rsid w:val="00E77DA2"/>
    <w:rsid w:val="00E87185"/>
    <w:rsid w:val="00EA198B"/>
    <w:rsid w:val="00EA501C"/>
    <w:rsid w:val="00EA7F60"/>
    <w:rsid w:val="00EB2140"/>
    <w:rsid w:val="00EB33F4"/>
    <w:rsid w:val="00EC4D8A"/>
    <w:rsid w:val="00ED16E0"/>
    <w:rsid w:val="00ED1925"/>
    <w:rsid w:val="00ED23CA"/>
    <w:rsid w:val="00ED27AC"/>
    <w:rsid w:val="00EE23C4"/>
    <w:rsid w:val="00EE4FC3"/>
    <w:rsid w:val="00EE6D7D"/>
    <w:rsid w:val="00EE7EBB"/>
    <w:rsid w:val="00EF6B83"/>
    <w:rsid w:val="00F0105F"/>
    <w:rsid w:val="00F10B00"/>
    <w:rsid w:val="00F10D3D"/>
    <w:rsid w:val="00F26998"/>
    <w:rsid w:val="00F338CC"/>
    <w:rsid w:val="00F349DC"/>
    <w:rsid w:val="00F459E9"/>
    <w:rsid w:val="00F50CA4"/>
    <w:rsid w:val="00F550A0"/>
    <w:rsid w:val="00F56D42"/>
    <w:rsid w:val="00F57AD7"/>
    <w:rsid w:val="00F676DA"/>
    <w:rsid w:val="00F676EB"/>
    <w:rsid w:val="00F71651"/>
    <w:rsid w:val="00F722BC"/>
    <w:rsid w:val="00F84035"/>
    <w:rsid w:val="00F8650C"/>
    <w:rsid w:val="00F92E7F"/>
    <w:rsid w:val="00F93C80"/>
    <w:rsid w:val="00FA2119"/>
    <w:rsid w:val="00FA24A0"/>
    <w:rsid w:val="00FB2C8F"/>
    <w:rsid w:val="00FB3B33"/>
    <w:rsid w:val="00FC2327"/>
    <w:rsid w:val="00FC2CD7"/>
    <w:rsid w:val="00FD1E63"/>
    <w:rsid w:val="00FD3531"/>
    <w:rsid w:val="00FE08EE"/>
    <w:rsid w:val="00FE7DC2"/>
    <w:rsid w:val="00FF29D4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7DBA"/>
  <w15:docId w15:val="{81BCB2FF-7B51-4BCD-82FC-E0BE3B98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8D6214"/>
    <w:pPr>
      <w:widowControl w:val="0"/>
      <w:suppressAutoHyphens/>
      <w:autoSpaceDE w:val="0"/>
      <w:autoSpaceDN w:val="0"/>
      <w:adjustRightInd w:val="0"/>
      <w:spacing w:after="120" w:line="280" w:lineRule="atLeast"/>
    </w:pPr>
    <w:rPr>
      <w:rFonts w:ascii="Univers-Light" w:eastAsiaTheme="minorEastAsia" w:hAnsi="Univers-Light" w:cs="Univers-Ligh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05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51C"/>
  </w:style>
  <w:style w:type="paragraph" w:styleId="Footer">
    <w:name w:val="footer"/>
    <w:basedOn w:val="Normal"/>
    <w:link w:val="FooterChar"/>
    <w:uiPriority w:val="99"/>
    <w:unhideWhenUsed/>
    <w:rsid w:val="00B105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51C"/>
  </w:style>
  <w:style w:type="character" w:styleId="Hyperlink">
    <w:name w:val="Hyperlink"/>
    <w:basedOn w:val="DefaultParagraphFont"/>
    <w:uiPriority w:val="99"/>
    <w:unhideWhenUsed/>
    <w:rsid w:val="00355AEC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55AEC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8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3F1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ULFPOINTADVISO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LPL Financial</Company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Gilbert</dc:creator>
  <cp:lastModifiedBy>John Rovetto</cp:lastModifiedBy>
  <cp:revision>2</cp:revision>
  <cp:lastPrinted>2019-10-28T19:16:00Z</cp:lastPrinted>
  <dcterms:created xsi:type="dcterms:W3CDTF">2026-03-26T16:48:00Z</dcterms:created>
  <dcterms:modified xsi:type="dcterms:W3CDTF">2026-03-26T16:48:00Z</dcterms:modified>
</cp:coreProperties>
</file>